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958D8B" w14:textId="361E8258" w:rsidR="0017704F" w:rsidRPr="0038630C" w:rsidRDefault="0017704F" w:rsidP="0038630C">
      <w:pPr>
        <w:spacing w:before="100" w:beforeAutospacing="1" w:after="100" w:afterAutospacing="1" w:line="240" w:lineRule="auto"/>
        <w:jc w:val="center"/>
        <w:outlineLvl w:val="0"/>
        <w:rPr>
          <w:rFonts w:asciiTheme="majorHAnsi" w:eastAsia="Times New Roman" w:hAnsiTheme="majorHAnsi" w:cstheme="majorHAnsi"/>
          <w:b/>
          <w:bCs/>
          <w:kern w:val="36"/>
          <w:sz w:val="24"/>
          <w:szCs w:val="24"/>
          <w:lang w:val="es-BO" w:eastAsia="es-BO"/>
          <w14:ligatures w14:val="none"/>
        </w:rPr>
      </w:pPr>
      <w:r w:rsidRPr="0038630C">
        <w:rPr>
          <w:rFonts w:asciiTheme="majorHAnsi" w:eastAsia="Times New Roman" w:hAnsiTheme="majorHAnsi" w:cstheme="majorHAnsi"/>
          <w:b/>
          <w:bCs/>
          <w:kern w:val="36"/>
          <w:sz w:val="24"/>
          <w:szCs w:val="24"/>
          <w:lang w:val="es-BO" w:eastAsia="es-BO"/>
          <w14:ligatures w14:val="none"/>
        </w:rPr>
        <w:t>TÉRMINOS DE REFERENCIA</w:t>
      </w:r>
    </w:p>
    <w:p w14:paraId="2764174B" w14:textId="40DE2990" w:rsidR="0017704F" w:rsidRPr="0038630C" w:rsidRDefault="007829DE" w:rsidP="0038630C">
      <w:pPr>
        <w:spacing w:before="100" w:beforeAutospacing="1" w:after="100" w:afterAutospacing="1" w:line="240" w:lineRule="auto"/>
        <w:jc w:val="center"/>
        <w:outlineLvl w:val="2"/>
        <w:rPr>
          <w:rFonts w:asciiTheme="majorHAnsi" w:eastAsia="Times New Roman" w:hAnsiTheme="majorHAnsi" w:cstheme="majorHAnsi"/>
          <w:b/>
          <w:bCs/>
          <w:kern w:val="0"/>
          <w:sz w:val="24"/>
          <w:szCs w:val="24"/>
          <w:lang w:val="es-BO" w:eastAsia="es-BO"/>
          <w14:ligatures w14:val="none"/>
        </w:rPr>
      </w:pPr>
      <w:r>
        <w:rPr>
          <w:rFonts w:asciiTheme="majorHAnsi" w:eastAsia="Times New Roman" w:hAnsiTheme="majorHAnsi" w:cstheme="majorHAnsi"/>
          <w:b/>
          <w:bCs/>
          <w:kern w:val="0"/>
          <w:sz w:val="24"/>
          <w:szCs w:val="24"/>
          <w:lang w:val="es-BO" w:eastAsia="es-BO"/>
          <w14:ligatures w14:val="none"/>
        </w:rPr>
        <w:t>Experto</w:t>
      </w:r>
      <w:r w:rsidR="0017704F" w:rsidRPr="0038630C">
        <w:rPr>
          <w:rFonts w:asciiTheme="majorHAnsi" w:eastAsia="Times New Roman" w:hAnsiTheme="majorHAnsi" w:cstheme="majorHAnsi"/>
          <w:b/>
          <w:bCs/>
          <w:kern w:val="0"/>
          <w:sz w:val="24"/>
          <w:szCs w:val="24"/>
          <w:lang w:val="es-BO" w:eastAsia="es-BO"/>
          <w14:ligatures w14:val="none"/>
        </w:rPr>
        <w:t>/a en análisis de mercado y comercialización de productos maderables provenientes de aserrío</w:t>
      </w:r>
      <w:r>
        <w:rPr>
          <w:rFonts w:asciiTheme="majorHAnsi" w:eastAsia="Times New Roman" w:hAnsiTheme="majorHAnsi" w:cstheme="majorHAnsi"/>
          <w:b/>
          <w:bCs/>
          <w:kern w:val="0"/>
          <w:sz w:val="24"/>
          <w:szCs w:val="24"/>
          <w:lang w:val="es-BO" w:eastAsia="es-BO"/>
          <w14:ligatures w14:val="none"/>
        </w:rPr>
        <w:t xml:space="preserve">s </w:t>
      </w:r>
      <w:r w:rsidR="0017704F" w:rsidRPr="0038630C">
        <w:rPr>
          <w:rFonts w:asciiTheme="majorHAnsi" w:eastAsia="Times New Roman" w:hAnsiTheme="majorHAnsi" w:cstheme="majorHAnsi"/>
          <w:b/>
          <w:bCs/>
          <w:kern w:val="0"/>
          <w:sz w:val="24"/>
          <w:szCs w:val="24"/>
          <w:lang w:val="es-BO" w:eastAsia="es-BO"/>
          <w14:ligatures w14:val="none"/>
        </w:rPr>
        <w:t>comunitario</w:t>
      </w:r>
      <w:r>
        <w:rPr>
          <w:rFonts w:asciiTheme="majorHAnsi" w:eastAsia="Times New Roman" w:hAnsiTheme="majorHAnsi" w:cstheme="majorHAnsi"/>
          <w:b/>
          <w:bCs/>
          <w:kern w:val="0"/>
          <w:sz w:val="24"/>
          <w:szCs w:val="24"/>
          <w:lang w:val="es-BO" w:eastAsia="es-BO"/>
          <w14:ligatures w14:val="none"/>
        </w:rPr>
        <w:t>s</w:t>
      </w:r>
    </w:p>
    <w:p w14:paraId="029C8ACC" w14:textId="432B1F44" w:rsidR="0017704F" w:rsidRPr="0038630C" w:rsidRDefault="0017704F" w:rsidP="0038630C">
      <w:pPr>
        <w:pStyle w:val="Prrafodelista"/>
        <w:numPr>
          <w:ilvl w:val="0"/>
          <w:numId w:val="2"/>
        </w:numPr>
        <w:spacing w:before="100" w:beforeAutospacing="1" w:after="100" w:afterAutospacing="1" w:line="240" w:lineRule="auto"/>
        <w:ind w:left="426" w:hanging="426"/>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Antecedentes</w:t>
      </w:r>
    </w:p>
    <w:p w14:paraId="4A8571ED" w14:textId="70B15992" w:rsidR="0017704F" w:rsidRPr="0038630C" w:rsidRDefault="001A3BB7" w:rsidP="0038630C">
      <w:pPr>
        <w:pStyle w:val="NormalWeb"/>
        <w:jc w:val="both"/>
        <w:rPr>
          <w:rFonts w:asciiTheme="majorHAnsi" w:hAnsiTheme="majorHAnsi" w:cstheme="majorHAnsi"/>
        </w:rPr>
      </w:pPr>
      <w:r w:rsidRPr="0038630C">
        <w:rPr>
          <w:rFonts w:asciiTheme="majorHAnsi" w:hAnsiTheme="majorHAnsi" w:cstheme="majorHAnsi"/>
        </w:rPr>
        <w:t xml:space="preserve">El Instituto Boliviano de Investigación Forestal (IBIF) implementa actualmente el proyecto </w:t>
      </w:r>
      <w:r w:rsidRPr="0038630C">
        <w:rPr>
          <w:rStyle w:val="nfasis"/>
          <w:rFonts w:asciiTheme="majorHAnsi" w:hAnsiTheme="majorHAnsi" w:cstheme="majorHAnsi"/>
        </w:rPr>
        <w:t>Making Forest Work for Local People – Phase II</w:t>
      </w:r>
      <w:r w:rsidRPr="0038630C">
        <w:rPr>
          <w:rFonts w:asciiTheme="majorHAnsi" w:hAnsiTheme="majorHAnsi" w:cstheme="majorHAnsi"/>
        </w:rPr>
        <w:t>, financiado por Andreas STIHL AG &amp; Co. KG, orientado al fortalecimiento del manejo forestal comunitario en Bolivia. El proyecto busca mejorar la viabilidad del manejo forestal comunitario mediante la generación de valor económico a partir del uso sostenible del bosque, el fortalecimiento de capacidades locales y la innovación en modelos operativos adaptados a contextos territoriales.</w:t>
      </w:r>
    </w:p>
    <w:p w14:paraId="7C706551" w14:textId="77777777"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En este marco, el aserrío móvil in situ se ha consolidado como un eje estratégico, al permitir la transformación primaria de la madera en el propio territorio. Este enfoque contribuye a reducir costos logísticos, mejorar la calidad de los productos y aumentar la captura de valor a nivel comunitario, al mismo tiempo que fortalece el control sobre etapas clave de la cadena forestal. Más allá de su dimensión técnica, el aserrío móvil representa una reconfiguración de la lógica de la cadena de valor, al incidir directamente en la forma en que se generan ingresos y se establecen relaciones comerciales.</w:t>
      </w:r>
    </w:p>
    <w:p w14:paraId="7EEBCB8F" w14:textId="36E9CB96"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No obstante, la sostenibilidad de este modelo depende de su articulación efectiva con mercados reales. En contextos como la Chiquitanía y Guarayos, el principal desafío no radica en la disponibilidad del recurso forestal, sino en las limitaciones para su transformación, comercialización y captura de valor. </w:t>
      </w:r>
      <w:r w:rsidR="000C33C3" w:rsidRPr="0038630C">
        <w:rPr>
          <w:rFonts w:asciiTheme="majorHAnsi" w:eastAsia="Times New Roman" w:hAnsiTheme="majorHAnsi" w:cstheme="majorHAnsi"/>
          <w:kern w:val="0"/>
          <w:sz w:val="24"/>
          <w:szCs w:val="24"/>
          <w:lang w:val="es-BO" w:eastAsia="es-BO"/>
          <w14:ligatures w14:val="none"/>
        </w:rPr>
        <w:t>En este sentido, resulta fundamental comprender bajo qué condiciones los productos maderables ya demandados en mercados locales y regionales pueden ser producidos e insertados comercialmente mediante modelos de aserrío móvil comunitario, considerando requisitos técnicos, logísticos y comerciales compatibles con las capacidades de las organizaciones comunitarias</w:t>
      </w:r>
      <w:r w:rsidRPr="0038630C">
        <w:rPr>
          <w:rFonts w:asciiTheme="majorHAnsi" w:eastAsia="Times New Roman" w:hAnsiTheme="majorHAnsi" w:cstheme="majorHAnsi"/>
          <w:kern w:val="0"/>
          <w:sz w:val="24"/>
          <w:szCs w:val="24"/>
          <w:lang w:val="es-BO" w:eastAsia="es-BO"/>
          <w14:ligatures w14:val="none"/>
        </w:rPr>
        <w:t>.</w:t>
      </w:r>
    </w:p>
    <w:p w14:paraId="36ED25F6" w14:textId="77777777"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En respuesta a esta necesidad, la presente consultoría se orienta a desarrollar un análisis focalizado de mercado y cadena de valor, priorizando aquellos elementos que inciden directamente en la viabilidad comercial del modelo. Este enfoque busca generar insumos concretos para el diseño de un modelo de negocio piloto, que permita validar en la práctica las condiciones de producción, transformación y comercialización del aserrío móvil comunitario.</w:t>
      </w:r>
    </w:p>
    <w:p w14:paraId="42D60F55" w14:textId="77777777"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Este proceso constituye un primer paso dentro de una lógica progresiva de intervención, en la que la validación de la viabilidad comercial permitirá, en fases posteriores, avanzar hacia el fortalecimiento organizativo y el escalamiento del modelo en otros contextos.</w:t>
      </w:r>
    </w:p>
    <w:p w14:paraId="4E6E8C6B" w14:textId="17E7FC74" w:rsidR="0017704F" w:rsidRPr="0038630C" w:rsidRDefault="0017704F" w:rsidP="0038630C">
      <w:pPr>
        <w:pStyle w:val="Prrafodelista"/>
        <w:numPr>
          <w:ilvl w:val="0"/>
          <w:numId w:val="2"/>
        </w:numPr>
        <w:spacing w:before="100" w:beforeAutospacing="1" w:after="100" w:afterAutospacing="1" w:line="240" w:lineRule="auto"/>
        <w:ind w:left="426" w:hanging="426"/>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Objetivo general de la consultoría</w:t>
      </w:r>
    </w:p>
    <w:p w14:paraId="020DC9CE" w14:textId="63355148" w:rsidR="0017704F" w:rsidRPr="0038630C" w:rsidRDefault="000C33C3"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Evaluar la viabilidad comercial inicial de productos maderables con demanda en mercados locales y regionales, analizando su compatibilidad técnica, operativa y </w:t>
      </w:r>
      <w:r w:rsidRPr="0038630C">
        <w:rPr>
          <w:rFonts w:asciiTheme="majorHAnsi" w:eastAsia="Times New Roman" w:hAnsiTheme="majorHAnsi" w:cstheme="majorHAnsi"/>
          <w:kern w:val="0"/>
          <w:sz w:val="24"/>
          <w:szCs w:val="24"/>
          <w:lang w:val="es-BO" w:eastAsia="es-BO"/>
          <w14:ligatures w14:val="none"/>
        </w:rPr>
        <w:lastRenderedPageBreak/>
        <w:t>comercial con el modelo de aserrío móvil comunitario in situ</w:t>
      </w:r>
      <w:r w:rsidR="0017704F" w:rsidRPr="0038630C">
        <w:rPr>
          <w:rFonts w:asciiTheme="majorHAnsi" w:eastAsia="Times New Roman" w:hAnsiTheme="majorHAnsi" w:cstheme="majorHAnsi"/>
          <w:kern w:val="0"/>
          <w:sz w:val="24"/>
          <w:szCs w:val="24"/>
          <w:lang w:val="es-BO" w:eastAsia="es-BO"/>
          <w14:ligatures w14:val="none"/>
        </w:rPr>
        <w:t>, mediante un análisis focalizado de mercado y cadena de valor en contextos locales y regionales, con el fin de diseñar un modelo de negocio piloto viable y adaptable a contextos comunitarios.</w:t>
      </w:r>
    </w:p>
    <w:p w14:paraId="4FD56297" w14:textId="74BE867F" w:rsidR="0017704F" w:rsidRPr="0038630C" w:rsidRDefault="0017704F" w:rsidP="0038630C">
      <w:pPr>
        <w:pStyle w:val="Prrafodelista"/>
        <w:numPr>
          <w:ilvl w:val="0"/>
          <w:numId w:val="2"/>
        </w:numPr>
        <w:spacing w:before="100" w:beforeAutospacing="1" w:after="100" w:afterAutospacing="1" w:line="240" w:lineRule="auto"/>
        <w:ind w:left="426" w:hanging="426"/>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Objetivos específicos</w:t>
      </w:r>
    </w:p>
    <w:p w14:paraId="48341658" w14:textId="77777777"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La consultoría se orienta a identificar las condiciones reales bajo las cuales el modelo de aserrío móvil puede operar de manera sostenible. Para ello, se plantean los siguientes objetivos específicos:</w:t>
      </w:r>
    </w:p>
    <w:p w14:paraId="1149FF7E" w14:textId="2E64C2A3" w:rsidR="0017704F" w:rsidRPr="0038630C" w:rsidRDefault="000C33C3" w:rsidP="0038630C">
      <w:pPr>
        <w:numPr>
          <w:ilvl w:val="0"/>
          <w:numId w:val="3"/>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Identificar y priorizar un conjunto acotado de productos maderables ya posicionados en mercados locales y regionales, evaluando su compatibilidad técnica, operativa y comercial con el modelo de aserrío móvil comunitario</w:t>
      </w:r>
      <w:r w:rsidR="0017704F" w:rsidRPr="0038630C">
        <w:rPr>
          <w:rFonts w:asciiTheme="majorHAnsi" w:eastAsia="Times New Roman" w:hAnsiTheme="majorHAnsi" w:cstheme="majorHAnsi"/>
          <w:kern w:val="0"/>
          <w:sz w:val="24"/>
          <w:szCs w:val="24"/>
          <w:lang w:val="es-BO" w:eastAsia="es-BO"/>
          <w14:ligatures w14:val="none"/>
        </w:rPr>
        <w:t xml:space="preserve">. </w:t>
      </w:r>
    </w:p>
    <w:p w14:paraId="5EDB503A" w14:textId="660F14DD" w:rsidR="0017704F" w:rsidRPr="0038630C" w:rsidRDefault="000C33C3" w:rsidP="0038630C">
      <w:pPr>
        <w:numPr>
          <w:ilvl w:val="0"/>
          <w:numId w:val="3"/>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Analizar la demanda efectiva de los productos priorizados en mercados locales y regionales, considerando compradores reales, volúmenes, frecuencia de compra y condiciones de negociación</w:t>
      </w:r>
      <w:r w:rsidR="0017704F" w:rsidRPr="0038630C">
        <w:rPr>
          <w:rFonts w:asciiTheme="majorHAnsi" w:eastAsia="Times New Roman" w:hAnsiTheme="majorHAnsi" w:cstheme="majorHAnsi"/>
          <w:kern w:val="0"/>
          <w:sz w:val="24"/>
          <w:szCs w:val="24"/>
          <w:lang w:val="es-BO" w:eastAsia="es-BO"/>
          <w14:ligatures w14:val="none"/>
        </w:rPr>
        <w:t xml:space="preserve">. </w:t>
      </w:r>
    </w:p>
    <w:p w14:paraId="1EA1978A" w14:textId="77777777" w:rsidR="0017704F" w:rsidRPr="0038630C" w:rsidRDefault="0017704F" w:rsidP="0038630C">
      <w:pPr>
        <w:numPr>
          <w:ilvl w:val="0"/>
          <w:numId w:val="3"/>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Caracterizar los precios de mercado y los requisitos técnicos y comerciales asociados a los productos priorizados. </w:t>
      </w:r>
    </w:p>
    <w:p w14:paraId="383F5423" w14:textId="77777777" w:rsidR="0017704F" w:rsidRPr="0038630C" w:rsidRDefault="0017704F" w:rsidP="0038630C">
      <w:pPr>
        <w:numPr>
          <w:ilvl w:val="0"/>
          <w:numId w:val="3"/>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Evaluar la cadena de valor en términos operativos, identificando actores clave, márgenes aproximados y principales cuellos de botella. </w:t>
      </w:r>
    </w:p>
    <w:p w14:paraId="708B95BC" w14:textId="77777777" w:rsidR="0017704F" w:rsidRPr="0038630C" w:rsidRDefault="0017704F" w:rsidP="0038630C">
      <w:pPr>
        <w:numPr>
          <w:ilvl w:val="0"/>
          <w:numId w:val="3"/>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Identificar canales de comercialización accesibles para organizaciones comunitarias y condiciones de acceso a los mismos. </w:t>
      </w:r>
    </w:p>
    <w:p w14:paraId="35FC3107" w14:textId="77777777" w:rsidR="0017704F" w:rsidRPr="0038630C" w:rsidRDefault="0017704F" w:rsidP="0038630C">
      <w:pPr>
        <w:numPr>
          <w:ilvl w:val="0"/>
          <w:numId w:val="3"/>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Diseñar un modelo de negocio piloto basado en condiciones reales de mercado, orientado a su implementación en campo. </w:t>
      </w:r>
    </w:p>
    <w:p w14:paraId="202297CB" w14:textId="0A3B1A8F" w:rsidR="0017704F" w:rsidRPr="0038630C" w:rsidRDefault="0017704F" w:rsidP="0038630C">
      <w:pPr>
        <w:pStyle w:val="Prrafodelista"/>
        <w:numPr>
          <w:ilvl w:val="0"/>
          <w:numId w:val="2"/>
        </w:numPr>
        <w:spacing w:before="100" w:beforeAutospacing="1" w:after="100" w:afterAutospacing="1" w:line="240" w:lineRule="auto"/>
        <w:ind w:left="426" w:hanging="426"/>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Actividades a realizar</w:t>
      </w:r>
    </w:p>
    <w:p w14:paraId="6A261BF0" w14:textId="4298CC46"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En coherencia con el enfoque focalizado y orientado a resultados de la consultoría, las actividades deberán concentrarse en la generación de información clave para validar la viabilidad comercial del modelo de aserrío móvil comunitario con motosierra in situ.</w:t>
      </w:r>
    </w:p>
    <w:p w14:paraId="530AB42E" w14:textId="77777777" w:rsidR="0017704F" w:rsidRPr="0038630C" w:rsidRDefault="0017704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El/la consultor/a deberá desarrollar, como mínimo, las siguientes actividades:</w:t>
      </w:r>
    </w:p>
    <w:p w14:paraId="5CAF3B6D"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Elaborar un plan de trabajo detallado que incluya metodología, cronograma y estrategia de levantamiento de información. </w:t>
      </w:r>
    </w:p>
    <w:p w14:paraId="4987A1F5" w14:textId="43C3CFA9" w:rsidR="0017704F" w:rsidRPr="0038630C" w:rsidRDefault="000C33C3"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Definir y priorizar, en coordinación con el equipo del proyecto, productos maderables ya posicionados en mercados locales y regionales, evaluando su compatibilidad técnica, operativa y comercial con el modelo de aserrío móvil comunitario</w:t>
      </w:r>
      <w:r w:rsidR="0017704F" w:rsidRPr="0038630C">
        <w:rPr>
          <w:rFonts w:asciiTheme="majorHAnsi" w:eastAsia="Times New Roman" w:hAnsiTheme="majorHAnsi" w:cstheme="majorHAnsi"/>
          <w:kern w:val="0"/>
          <w:sz w:val="24"/>
          <w:szCs w:val="24"/>
          <w:lang w:val="es-BO" w:eastAsia="es-BO"/>
          <w14:ligatures w14:val="none"/>
        </w:rPr>
        <w:t xml:space="preserve">. </w:t>
      </w:r>
    </w:p>
    <w:p w14:paraId="735D1A47"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Realizar levantamiento de información de mercado mediante entrevistas a actores clave, tales como compradores, intermediarios, carpinterías, constructoras y otros actores relevantes. </w:t>
      </w:r>
    </w:p>
    <w:p w14:paraId="55C613AC"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Recopilar y analizar información sobre precios, volúmenes, condiciones de compra y requisitos técnicos exigidos por el mercado. </w:t>
      </w:r>
    </w:p>
    <w:p w14:paraId="2AED8D52"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Identificar y caracterizar los principales canales de comercialización existentes y las condiciones de acceso para productores comunitarios. </w:t>
      </w:r>
    </w:p>
    <w:p w14:paraId="7653427A"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lastRenderedPageBreak/>
        <w:t xml:space="preserve">Desarrollar un análisis simplificado de la cadena de valor, incluyendo mapeo de actores, estimación de márgenes y análisis de cuellos de botella. </w:t>
      </w:r>
    </w:p>
    <w:p w14:paraId="732A2B4B"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Evaluar la competitividad del aserrío móvil frente a otras modalidades de transformación primaria de la madera en el contexto local. </w:t>
      </w:r>
    </w:p>
    <w:p w14:paraId="33CBC885"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Sistematizar la información generada y validar resultados de manera puntual con el equipo del proyecto y, cuando corresponda, con comunidades piloto. </w:t>
      </w:r>
    </w:p>
    <w:p w14:paraId="2BD85BED"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Elaborar una propuesta de estrategia comercial inicial adaptada a las capacidades y condiciones de las comunidades. </w:t>
      </w:r>
    </w:p>
    <w:p w14:paraId="264B631F" w14:textId="77777777" w:rsidR="0017704F" w:rsidRPr="0038630C" w:rsidRDefault="0017704F" w:rsidP="0038630C">
      <w:pPr>
        <w:numPr>
          <w:ilvl w:val="0"/>
          <w:numId w:val="4"/>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Diseñar un modelo de negocio piloto que integre los resultados del análisis de mercado y cadena de valor. </w:t>
      </w:r>
    </w:p>
    <w:p w14:paraId="407EBD7F" w14:textId="714259CC" w:rsidR="00BE640E" w:rsidRPr="0038630C" w:rsidRDefault="00BE640E" w:rsidP="0038630C">
      <w:pPr>
        <w:pStyle w:val="Prrafodelista"/>
        <w:numPr>
          <w:ilvl w:val="0"/>
          <w:numId w:val="2"/>
        </w:numPr>
        <w:spacing w:before="100" w:beforeAutospacing="1" w:after="100" w:afterAutospacing="1" w:line="240" w:lineRule="auto"/>
        <w:ind w:left="426" w:hanging="426"/>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Alcance de la consultoría</w:t>
      </w:r>
    </w:p>
    <w:p w14:paraId="59387C83" w14:textId="77777777" w:rsidR="00BE640E" w:rsidRPr="0038630C" w:rsidRDefault="00BE640E"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La consultoría tendrá un enfoque estratégico y operativo, orientado a generar información clave para validar la viabilidad comercial del aserrío móvil comunitario.</w:t>
      </w:r>
    </w:p>
    <w:p w14:paraId="670DA373" w14:textId="5D54AF63" w:rsidR="00BE640E" w:rsidRPr="0038630C" w:rsidRDefault="00BE640E"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El análisis se concentrará en un conjunto acotado de </w:t>
      </w:r>
      <w:r w:rsidR="006E0239" w:rsidRPr="0038630C">
        <w:rPr>
          <w:rFonts w:asciiTheme="majorHAnsi" w:eastAsia="Times New Roman" w:hAnsiTheme="majorHAnsi" w:cstheme="majorHAnsi"/>
          <w:kern w:val="0"/>
          <w:sz w:val="24"/>
          <w:szCs w:val="24"/>
          <w:lang w:val="es-BO" w:eastAsia="es-BO"/>
          <w14:ligatures w14:val="none"/>
        </w:rPr>
        <w:t>productos maderables ya comercializados en mercados locales y regionales</w:t>
      </w:r>
      <w:r w:rsidR="0038630C" w:rsidRPr="0038630C">
        <w:rPr>
          <w:rFonts w:asciiTheme="majorHAnsi" w:eastAsia="Times New Roman" w:hAnsiTheme="majorHAnsi" w:cstheme="majorHAnsi"/>
          <w:kern w:val="0"/>
          <w:sz w:val="24"/>
          <w:szCs w:val="24"/>
          <w:lang w:val="es-BO" w:eastAsia="es-BO"/>
          <w14:ligatures w14:val="none"/>
        </w:rPr>
        <w:t>, para</w:t>
      </w:r>
      <w:r w:rsidR="006E0239" w:rsidRPr="0038630C">
        <w:rPr>
          <w:rFonts w:asciiTheme="majorHAnsi" w:eastAsia="Times New Roman" w:hAnsiTheme="majorHAnsi" w:cstheme="majorHAnsi"/>
          <w:kern w:val="0"/>
          <w:sz w:val="24"/>
          <w:szCs w:val="24"/>
          <w:lang w:val="es-BO" w:eastAsia="es-BO"/>
          <w14:ligatures w14:val="none"/>
        </w:rPr>
        <w:t xml:space="preserve"> priorizados en función de su compatibilidad con el modelo de aserrío móvil comunitario y su viabilidad comercial.</w:t>
      </w:r>
      <w:r w:rsidRPr="0038630C">
        <w:rPr>
          <w:rFonts w:asciiTheme="majorHAnsi" w:eastAsia="Times New Roman" w:hAnsiTheme="majorHAnsi" w:cstheme="majorHAnsi"/>
          <w:kern w:val="0"/>
          <w:sz w:val="24"/>
          <w:szCs w:val="24"/>
          <w:lang w:val="es-BO" w:eastAsia="es-BO"/>
          <w14:ligatures w14:val="none"/>
        </w:rPr>
        <w:t xml:space="preserve"> Asimismo, se desarrollará un análisis simplificado de la cadena de valor, enfocado en la identificación de actores clave, márgenes aproximados y principales cuellos de botella, con énfasis en el rol del aserrío móvil como punto crítico de generación de valor.</w:t>
      </w:r>
    </w:p>
    <w:p w14:paraId="11446845" w14:textId="2103B5AF" w:rsidR="00BE640E" w:rsidRPr="0038630C" w:rsidRDefault="00BE640E"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El ámbito geográfico del estudio se limitará a las comunidades piloto del proyecto y a los mercados locales y provinciales de su área de influencia</w:t>
      </w:r>
      <w:r w:rsidR="00B744D8">
        <w:rPr>
          <w:rFonts w:asciiTheme="majorHAnsi" w:eastAsia="Times New Roman" w:hAnsiTheme="majorHAnsi" w:cstheme="majorHAnsi"/>
          <w:kern w:val="0"/>
          <w:sz w:val="24"/>
          <w:szCs w:val="24"/>
          <w:lang w:val="es-BO" w:eastAsia="es-BO"/>
          <w14:ligatures w14:val="none"/>
        </w:rPr>
        <w:t xml:space="preserve"> (</w:t>
      </w:r>
      <w:r w:rsidR="00B744D8" w:rsidRPr="00B744D8">
        <w:rPr>
          <w:rFonts w:asciiTheme="majorHAnsi" w:eastAsia="Times New Roman" w:hAnsiTheme="majorHAnsi" w:cstheme="majorHAnsi"/>
          <w:kern w:val="0"/>
          <w:sz w:val="24"/>
          <w:szCs w:val="24"/>
          <w:lang w:val="es-BO" w:eastAsia="es-BO"/>
          <w14:ligatures w14:val="none"/>
        </w:rPr>
        <w:t>TCO Lomerío,</w:t>
      </w:r>
      <w:r w:rsidR="00B744D8">
        <w:rPr>
          <w:rFonts w:asciiTheme="majorHAnsi" w:eastAsia="Times New Roman" w:hAnsiTheme="majorHAnsi" w:cstheme="majorHAnsi"/>
          <w:kern w:val="0"/>
          <w:sz w:val="24"/>
          <w:szCs w:val="24"/>
          <w:lang w:val="es-BO" w:eastAsia="es-BO"/>
          <w14:ligatures w14:val="none"/>
        </w:rPr>
        <w:t xml:space="preserve"> TCO</w:t>
      </w:r>
      <w:r w:rsidR="00B744D8" w:rsidRPr="00B744D8">
        <w:rPr>
          <w:rFonts w:asciiTheme="majorHAnsi" w:eastAsia="Times New Roman" w:hAnsiTheme="majorHAnsi" w:cstheme="majorHAnsi"/>
          <w:kern w:val="0"/>
          <w:sz w:val="24"/>
          <w:szCs w:val="24"/>
          <w:lang w:val="es-BO" w:eastAsia="es-BO"/>
          <w14:ligatures w14:val="none"/>
        </w:rPr>
        <w:t xml:space="preserve"> Monte Verde y Provincia Velasco</w:t>
      </w:r>
      <w:r w:rsidR="00B744D8">
        <w:rPr>
          <w:rFonts w:asciiTheme="majorHAnsi" w:eastAsia="Times New Roman" w:hAnsiTheme="majorHAnsi" w:cstheme="majorHAnsi"/>
          <w:kern w:val="0"/>
          <w:sz w:val="24"/>
          <w:szCs w:val="24"/>
          <w:lang w:val="es-BO" w:eastAsia="es-BO"/>
          <w14:ligatures w14:val="none"/>
        </w:rPr>
        <w:t>)</w:t>
      </w:r>
      <w:r w:rsidRPr="0038630C">
        <w:rPr>
          <w:rFonts w:asciiTheme="majorHAnsi" w:eastAsia="Times New Roman" w:hAnsiTheme="majorHAnsi" w:cstheme="majorHAnsi"/>
          <w:kern w:val="0"/>
          <w:sz w:val="24"/>
          <w:szCs w:val="24"/>
          <w:lang w:val="es-BO" w:eastAsia="es-BO"/>
          <w14:ligatures w14:val="none"/>
        </w:rPr>
        <w:t>, incorporando de manera complementaria información de la ciudad de Santa Cruz como referencia.</w:t>
      </w:r>
    </w:p>
    <w:p w14:paraId="31B44A60" w14:textId="73DEF7A1" w:rsidR="00A778FF" w:rsidRPr="0038630C" w:rsidRDefault="00A778FF" w:rsidP="0038630C">
      <w:pPr>
        <w:pStyle w:val="Prrafodelista"/>
        <w:numPr>
          <w:ilvl w:val="0"/>
          <w:numId w:val="2"/>
        </w:numPr>
        <w:spacing w:before="100" w:beforeAutospacing="1" w:after="100" w:afterAutospacing="1" w:line="240" w:lineRule="auto"/>
        <w:ind w:left="567" w:hanging="567"/>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Enfoque metodológico</w:t>
      </w:r>
    </w:p>
    <w:p w14:paraId="6C960636" w14:textId="77777777" w:rsidR="00A778FF" w:rsidRPr="0038630C" w:rsidRDefault="00A778F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La consultoría se desarrollará mediante un enfoque mixto, combinando herramientas cualitativas y cuantitativas orientadas a la obtención de resultados prácticos. El trabajo incluirá entrevistas a actores clave del mercado, tales como compradores, intermediarios y transformadores de madera, así como la revisión de información secundaria relevante y el levantamiento de datos sobre precios y condiciones de comercialización.</w:t>
      </w:r>
    </w:p>
    <w:p w14:paraId="1EEB4DF5" w14:textId="2A11FCFE" w:rsidR="000C33C3" w:rsidRPr="0038630C" w:rsidRDefault="000C33C3"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El análisis partirá de productos maderables ya existentes y comercializados en mercados locales y regionales. Sobre esta base, la consultoría evaluará cuáles de estos productos presentan mejores condiciones de compatibilidad con el modelo de aserrío móvil comunitario, considerando criterios técnicos, operativos, logísticos y comerciales.</w:t>
      </w:r>
    </w:p>
    <w:p w14:paraId="52792E71" w14:textId="77777777" w:rsidR="00A778FF" w:rsidRPr="0038630C" w:rsidRDefault="00A778F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Se realizarán validaciones puntuales con comunidades piloto para asegurar la pertinencia de los resultados. En todo momento, el enfoque deberá ser coherente con los principios del manejo forestal comunitario, priorizando soluciones realistas y adaptadas a las capacidades locales.</w:t>
      </w:r>
    </w:p>
    <w:p w14:paraId="562016AA" w14:textId="77777777" w:rsidR="00A778FF" w:rsidRPr="0038630C" w:rsidRDefault="00A778F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lastRenderedPageBreak/>
        <w:t>La consultoría deberá generar una secuencia de productos articulados entre sí, orientados a la toma de decisiones:</w:t>
      </w:r>
    </w:p>
    <w:p w14:paraId="281248FB" w14:textId="77777777" w:rsidR="00A778FF" w:rsidRPr="0038630C" w:rsidRDefault="00A778FF" w:rsidP="0038630C">
      <w:pPr>
        <w:numPr>
          <w:ilvl w:val="0"/>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Producto 1: Plan de trabajo de la consultoría</w:t>
      </w:r>
      <w:r w:rsidRPr="0038630C">
        <w:rPr>
          <w:rFonts w:asciiTheme="majorHAnsi" w:eastAsia="Times New Roman" w:hAnsiTheme="majorHAnsi" w:cstheme="majorHAnsi"/>
          <w:kern w:val="0"/>
          <w:sz w:val="24"/>
          <w:szCs w:val="24"/>
          <w:lang w:val="es-BO" w:eastAsia="es-BO"/>
          <w14:ligatures w14:val="none"/>
        </w:rPr>
        <w:t xml:space="preserve">, que incluya metodología, cronograma y enfoque de implementación. </w:t>
      </w:r>
    </w:p>
    <w:p w14:paraId="60869B20" w14:textId="02F4DD18" w:rsidR="00A778FF" w:rsidRPr="0038630C" w:rsidRDefault="00A778FF" w:rsidP="0038630C">
      <w:pPr>
        <w:numPr>
          <w:ilvl w:val="0"/>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 xml:space="preserve">Producto 2: </w:t>
      </w:r>
      <w:r w:rsidR="006E0239" w:rsidRPr="0038630C">
        <w:rPr>
          <w:rFonts w:asciiTheme="majorHAnsi" w:eastAsia="Times New Roman" w:hAnsiTheme="majorHAnsi" w:cstheme="majorHAnsi"/>
          <w:b/>
          <w:bCs/>
          <w:kern w:val="0"/>
          <w:sz w:val="24"/>
          <w:szCs w:val="24"/>
          <w:lang w:val="es-BO" w:eastAsia="es-BO"/>
          <w14:ligatures w14:val="none"/>
        </w:rPr>
        <w:t>Documento metodológico y priorización de productos maderables ya existentes en el mercado, evaluados según criterios de compatibilidad técnica, operativa y comercial con el modelo de aserrío móvil comunitario</w:t>
      </w:r>
      <w:r w:rsidR="006E0239" w:rsidRPr="0038630C" w:rsidDel="006E0239">
        <w:rPr>
          <w:rFonts w:asciiTheme="majorHAnsi" w:eastAsia="Times New Roman" w:hAnsiTheme="majorHAnsi" w:cstheme="majorHAnsi"/>
          <w:b/>
          <w:bCs/>
          <w:kern w:val="0"/>
          <w:sz w:val="24"/>
          <w:szCs w:val="24"/>
          <w:lang w:val="es-BO" w:eastAsia="es-BO"/>
          <w14:ligatures w14:val="none"/>
        </w:rPr>
        <w:t xml:space="preserve"> </w:t>
      </w:r>
      <w:r w:rsidRPr="0038630C">
        <w:rPr>
          <w:rFonts w:asciiTheme="majorHAnsi" w:eastAsia="Times New Roman" w:hAnsiTheme="majorHAnsi" w:cstheme="majorHAnsi"/>
          <w:b/>
          <w:bCs/>
          <w:kern w:val="0"/>
          <w:sz w:val="24"/>
          <w:szCs w:val="24"/>
          <w:lang w:val="es-BO" w:eastAsia="es-BO"/>
          <w14:ligatures w14:val="none"/>
        </w:rPr>
        <w:t>maderables</w:t>
      </w:r>
      <w:r w:rsidRPr="0038630C">
        <w:rPr>
          <w:rFonts w:asciiTheme="majorHAnsi" w:eastAsia="Times New Roman" w:hAnsiTheme="majorHAnsi" w:cstheme="majorHAnsi"/>
          <w:kern w:val="0"/>
          <w:sz w:val="24"/>
          <w:szCs w:val="24"/>
          <w:lang w:val="es-BO" w:eastAsia="es-BO"/>
          <w14:ligatures w14:val="none"/>
        </w:rPr>
        <w:t xml:space="preserve">, que defina el alcance del análisis y los productos a ser evaluados. </w:t>
      </w:r>
    </w:p>
    <w:p w14:paraId="26FA0194" w14:textId="20043E68" w:rsidR="00A778FF" w:rsidRPr="0038630C" w:rsidRDefault="00A778FF" w:rsidP="0038630C">
      <w:pPr>
        <w:numPr>
          <w:ilvl w:val="0"/>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Producto 3: Estudio de mercado focalizado</w:t>
      </w:r>
      <w:r w:rsidR="006E0239" w:rsidRPr="0038630C">
        <w:rPr>
          <w:rFonts w:asciiTheme="majorHAnsi" w:hAnsiTheme="majorHAnsi" w:cstheme="majorHAnsi"/>
          <w:sz w:val="24"/>
          <w:szCs w:val="24"/>
          <w:lang w:val="es-BO"/>
        </w:rPr>
        <w:t xml:space="preserve"> </w:t>
      </w:r>
      <w:r w:rsidR="006E0239" w:rsidRPr="0038630C">
        <w:rPr>
          <w:rFonts w:asciiTheme="majorHAnsi" w:eastAsia="Times New Roman" w:hAnsiTheme="majorHAnsi" w:cstheme="majorHAnsi"/>
          <w:b/>
          <w:bCs/>
          <w:kern w:val="0"/>
          <w:sz w:val="24"/>
          <w:szCs w:val="24"/>
          <w:lang w:val="es-BO" w:eastAsia="es-BO"/>
          <w14:ligatures w14:val="none"/>
        </w:rPr>
        <w:t xml:space="preserve">en los productos previamente priorizados </w:t>
      </w:r>
      <w:r w:rsidRPr="0038630C">
        <w:rPr>
          <w:rFonts w:asciiTheme="majorHAnsi" w:eastAsia="Times New Roman" w:hAnsiTheme="majorHAnsi" w:cstheme="majorHAnsi"/>
          <w:kern w:val="0"/>
          <w:sz w:val="24"/>
          <w:szCs w:val="24"/>
          <w:lang w:val="es-BO" w:eastAsia="es-BO"/>
          <w14:ligatures w14:val="none"/>
        </w:rPr>
        <w:t xml:space="preserve">, que incluya: </w:t>
      </w:r>
    </w:p>
    <w:p w14:paraId="601B5445"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Caracterización de productos </w:t>
      </w:r>
    </w:p>
    <w:p w14:paraId="137CBC2D"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Análisis de demanda efectiva </w:t>
      </w:r>
    </w:p>
    <w:p w14:paraId="334BCD69"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Precios de mercado </w:t>
      </w:r>
    </w:p>
    <w:p w14:paraId="7E13FE6C"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Requisitos técnicos y comerciales </w:t>
      </w:r>
    </w:p>
    <w:p w14:paraId="601467CC" w14:textId="77777777" w:rsidR="00A778FF" w:rsidRPr="0038630C" w:rsidRDefault="00A778FF" w:rsidP="0038630C">
      <w:pPr>
        <w:numPr>
          <w:ilvl w:val="0"/>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Producto 4: Análisis simplificado de la cadena de valor</w:t>
      </w:r>
      <w:r w:rsidRPr="0038630C">
        <w:rPr>
          <w:rFonts w:asciiTheme="majorHAnsi" w:eastAsia="Times New Roman" w:hAnsiTheme="majorHAnsi" w:cstheme="majorHAnsi"/>
          <w:kern w:val="0"/>
          <w:sz w:val="24"/>
          <w:szCs w:val="24"/>
          <w:lang w:val="es-BO" w:eastAsia="es-BO"/>
          <w14:ligatures w14:val="none"/>
        </w:rPr>
        <w:t xml:space="preserve">, que incluya: </w:t>
      </w:r>
    </w:p>
    <w:p w14:paraId="09DEF2FA"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Mapeo de actores clave </w:t>
      </w:r>
    </w:p>
    <w:p w14:paraId="491C0995"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Márgenes aproximados </w:t>
      </w:r>
    </w:p>
    <w:p w14:paraId="53A86BC6"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Principales cuellos de botella </w:t>
      </w:r>
    </w:p>
    <w:p w14:paraId="7F3B722D"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Identificación de puntos de entrada para comunidades </w:t>
      </w:r>
    </w:p>
    <w:p w14:paraId="26983417" w14:textId="77777777" w:rsidR="00A778FF" w:rsidRPr="0038630C" w:rsidRDefault="00A778FF" w:rsidP="0038630C">
      <w:pPr>
        <w:numPr>
          <w:ilvl w:val="0"/>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Producto 5: Estrategia comercial inicial</w:t>
      </w:r>
      <w:r w:rsidRPr="0038630C">
        <w:rPr>
          <w:rFonts w:asciiTheme="majorHAnsi" w:eastAsia="Times New Roman" w:hAnsiTheme="majorHAnsi" w:cstheme="majorHAnsi"/>
          <w:kern w:val="0"/>
          <w:sz w:val="24"/>
          <w:szCs w:val="24"/>
          <w:lang w:val="es-BO" w:eastAsia="es-BO"/>
          <w14:ligatures w14:val="none"/>
        </w:rPr>
        <w:t xml:space="preserve">, que incluya: </w:t>
      </w:r>
    </w:p>
    <w:p w14:paraId="3813270E"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Mercados objetivo </w:t>
      </w:r>
    </w:p>
    <w:p w14:paraId="51CE0F9D"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Canales de comercialización </w:t>
      </w:r>
    </w:p>
    <w:p w14:paraId="6939D778"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Condiciones de acceso </w:t>
      </w:r>
    </w:p>
    <w:p w14:paraId="6B0C03D6" w14:textId="77777777" w:rsidR="00A778FF" w:rsidRPr="0038630C" w:rsidRDefault="00A778FF" w:rsidP="0038630C">
      <w:pPr>
        <w:numPr>
          <w:ilvl w:val="1"/>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Recomendaciones para mejorar la captura de valor </w:t>
      </w:r>
    </w:p>
    <w:p w14:paraId="46FC2280" w14:textId="77777777" w:rsidR="00A778FF" w:rsidRPr="0038630C" w:rsidRDefault="00A778FF" w:rsidP="0038630C">
      <w:pPr>
        <w:numPr>
          <w:ilvl w:val="0"/>
          <w:numId w:val="5"/>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Producto 6: Modelo de negocio piloto para el aserrío móvil comunitario</w:t>
      </w:r>
      <w:r w:rsidRPr="0038630C">
        <w:rPr>
          <w:rFonts w:asciiTheme="majorHAnsi" w:eastAsia="Times New Roman" w:hAnsiTheme="majorHAnsi" w:cstheme="majorHAnsi"/>
          <w:kern w:val="0"/>
          <w:sz w:val="24"/>
          <w:szCs w:val="24"/>
          <w:lang w:val="es-BO" w:eastAsia="es-BO"/>
          <w14:ligatures w14:val="none"/>
        </w:rPr>
        <w:t>, basado en condiciones reales de mercado y orientado a su implementación en campo.</w:t>
      </w:r>
    </w:p>
    <w:p w14:paraId="2EB5F67A" w14:textId="04694C31" w:rsidR="00A778FF" w:rsidRPr="0038630C" w:rsidRDefault="00A778FF" w:rsidP="0038630C">
      <w:pPr>
        <w:pStyle w:val="Prrafodelista"/>
        <w:numPr>
          <w:ilvl w:val="0"/>
          <w:numId w:val="2"/>
        </w:numPr>
        <w:spacing w:before="100" w:beforeAutospacing="1" w:after="100" w:afterAutospacing="1" w:line="240" w:lineRule="auto"/>
        <w:ind w:left="567" w:hanging="567"/>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Perfil del/la consultor/a</w:t>
      </w:r>
    </w:p>
    <w:p w14:paraId="15BD82DC" w14:textId="77777777" w:rsidR="00A778FF" w:rsidRPr="0038630C" w:rsidRDefault="00A778F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Se requiere un/a consultor/a con experiencia en análisis de mercados y cadenas de valor en el sector forestal o en contextos productivos rurales, con capacidad de traducir análisis en recomendaciones operativas.</w:t>
      </w:r>
    </w:p>
    <w:p w14:paraId="2251F1EA" w14:textId="71DD4FE7" w:rsidR="00A778FF" w:rsidRDefault="00A778FF"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Se valorará formación en economía, administración, ingeniería forestal o áreas afines, así como experiencia previa en estudios de mercado y trabajo con actores </w:t>
      </w:r>
      <w:r w:rsidR="0038630C">
        <w:rPr>
          <w:rFonts w:asciiTheme="majorHAnsi" w:eastAsia="Times New Roman" w:hAnsiTheme="majorHAnsi" w:cstheme="majorHAnsi"/>
          <w:kern w:val="0"/>
          <w:sz w:val="24"/>
          <w:szCs w:val="24"/>
          <w:lang w:val="es-BO" w:eastAsia="es-BO"/>
          <w14:ligatures w14:val="none"/>
        </w:rPr>
        <w:t>indígenas o comunidades locales</w:t>
      </w:r>
      <w:r w:rsidRPr="0038630C">
        <w:rPr>
          <w:rFonts w:asciiTheme="majorHAnsi" w:eastAsia="Times New Roman" w:hAnsiTheme="majorHAnsi" w:cstheme="majorHAnsi"/>
          <w:kern w:val="0"/>
          <w:sz w:val="24"/>
          <w:szCs w:val="24"/>
          <w:lang w:val="es-BO" w:eastAsia="es-BO"/>
          <w14:ligatures w14:val="none"/>
        </w:rPr>
        <w:t>. Es importante contar con un enfoque práctico, orientado a resultados y con capacidad de trabajo en contextos rurales.</w:t>
      </w:r>
    </w:p>
    <w:p w14:paraId="524F35FF" w14:textId="23657A6B" w:rsidR="00CB01C9" w:rsidRPr="00CB01C9" w:rsidRDefault="00CB01C9" w:rsidP="00CB01C9">
      <w:pPr>
        <w:pStyle w:val="Prrafodelista"/>
        <w:numPr>
          <w:ilvl w:val="0"/>
          <w:numId w:val="2"/>
        </w:numPr>
        <w:spacing w:before="100" w:beforeAutospacing="1" w:after="100" w:afterAutospacing="1" w:line="240" w:lineRule="auto"/>
        <w:ind w:left="0" w:firstLine="0"/>
        <w:jc w:val="both"/>
        <w:rPr>
          <w:rFonts w:asciiTheme="majorHAnsi" w:eastAsia="Times New Roman" w:hAnsiTheme="majorHAnsi" w:cstheme="majorHAnsi"/>
          <w:b/>
          <w:bCs/>
          <w:kern w:val="0"/>
          <w:sz w:val="24"/>
          <w:szCs w:val="24"/>
          <w:lang w:val="es-BO" w:eastAsia="es-BO"/>
          <w14:ligatures w14:val="none"/>
        </w:rPr>
      </w:pPr>
      <w:bookmarkStart w:id="0" w:name="_Hlk229558698"/>
      <w:r w:rsidRPr="00CB01C9">
        <w:rPr>
          <w:rFonts w:asciiTheme="majorHAnsi" w:eastAsia="Times New Roman" w:hAnsiTheme="majorHAnsi" w:cstheme="majorHAnsi"/>
          <w:b/>
          <w:bCs/>
          <w:kern w:val="0"/>
          <w:sz w:val="24"/>
          <w:szCs w:val="24"/>
          <w:lang w:val="es-BO" w:eastAsia="es-BO"/>
          <w14:ligatures w14:val="none"/>
        </w:rPr>
        <w:t>Base de trabajo</w:t>
      </w:r>
    </w:p>
    <w:p w14:paraId="071619AB" w14:textId="05BD7D75" w:rsidR="00CB01C9" w:rsidRPr="00CB01C9" w:rsidRDefault="00CB01C9" w:rsidP="00CB01C9">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Pr>
          <w:rFonts w:asciiTheme="majorHAnsi" w:eastAsia="Times New Roman" w:hAnsiTheme="majorHAnsi" w:cstheme="majorHAnsi"/>
          <w:kern w:val="0"/>
          <w:sz w:val="24"/>
          <w:szCs w:val="24"/>
          <w:lang w:val="es-BO" w:eastAsia="es-BO"/>
          <w14:ligatures w14:val="none"/>
        </w:rPr>
        <w:t xml:space="preserve">La base de trabajó de la presente consultoría será la ciudad de </w:t>
      </w:r>
      <w:r w:rsidR="007745BF">
        <w:rPr>
          <w:rFonts w:asciiTheme="majorHAnsi" w:eastAsia="Times New Roman" w:hAnsiTheme="majorHAnsi" w:cstheme="majorHAnsi"/>
          <w:kern w:val="0"/>
          <w:sz w:val="24"/>
          <w:szCs w:val="24"/>
          <w:lang w:val="es-BO" w:eastAsia="es-BO"/>
          <w14:ligatures w14:val="none"/>
        </w:rPr>
        <w:t>S</w:t>
      </w:r>
      <w:r>
        <w:rPr>
          <w:rFonts w:asciiTheme="majorHAnsi" w:eastAsia="Times New Roman" w:hAnsiTheme="majorHAnsi" w:cstheme="majorHAnsi"/>
          <w:kern w:val="0"/>
          <w:sz w:val="24"/>
          <w:szCs w:val="24"/>
          <w:lang w:val="es-BO" w:eastAsia="es-BO"/>
          <w14:ligatures w14:val="none"/>
        </w:rPr>
        <w:t xml:space="preserve">anta </w:t>
      </w:r>
      <w:r w:rsidR="007745BF">
        <w:rPr>
          <w:rFonts w:asciiTheme="majorHAnsi" w:eastAsia="Times New Roman" w:hAnsiTheme="majorHAnsi" w:cstheme="majorHAnsi"/>
          <w:kern w:val="0"/>
          <w:sz w:val="24"/>
          <w:szCs w:val="24"/>
          <w:lang w:val="es-BO" w:eastAsia="es-BO"/>
          <w14:ligatures w14:val="none"/>
        </w:rPr>
        <w:t>C</w:t>
      </w:r>
      <w:r>
        <w:rPr>
          <w:rFonts w:asciiTheme="majorHAnsi" w:eastAsia="Times New Roman" w:hAnsiTheme="majorHAnsi" w:cstheme="majorHAnsi"/>
          <w:kern w:val="0"/>
          <w:sz w:val="24"/>
          <w:szCs w:val="24"/>
          <w:lang w:val="es-BO" w:eastAsia="es-BO"/>
          <w14:ligatures w14:val="none"/>
        </w:rPr>
        <w:t>ruz</w:t>
      </w:r>
      <w:r w:rsidR="007745BF">
        <w:rPr>
          <w:rFonts w:asciiTheme="majorHAnsi" w:eastAsia="Times New Roman" w:hAnsiTheme="majorHAnsi" w:cstheme="majorHAnsi"/>
          <w:kern w:val="0"/>
          <w:sz w:val="24"/>
          <w:szCs w:val="24"/>
          <w:lang w:val="es-BO" w:eastAsia="es-BO"/>
          <w14:ligatures w14:val="none"/>
        </w:rPr>
        <w:t xml:space="preserve"> de la Sierra</w:t>
      </w:r>
      <w:r>
        <w:rPr>
          <w:rFonts w:asciiTheme="majorHAnsi" w:eastAsia="Times New Roman" w:hAnsiTheme="majorHAnsi" w:cstheme="majorHAnsi"/>
          <w:kern w:val="0"/>
          <w:sz w:val="24"/>
          <w:szCs w:val="24"/>
          <w:lang w:val="es-BO" w:eastAsia="es-BO"/>
          <w14:ligatures w14:val="none"/>
        </w:rPr>
        <w:t xml:space="preserve">, con viajes a comunidades de la </w:t>
      </w:r>
      <w:r w:rsidRPr="00B744D8">
        <w:rPr>
          <w:rFonts w:asciiTheme="majorHAnsi" w:eastAsia="Times New Roman" w:hAnsiTheme="majorHAnsi" w:cstheme="majorHAnsi"/>
          <w:kern w:val="0"/>
          <w:sz w:val="24"/>
          <w:szCs w:val="24"/>
          <w:lang w:val="es-BO" w:eastAsia="es-BO"/>
          <w14:ligatures w14:val="none"/>
        </w:rPr>
        <w:t>TCO Lomerío,</w:t>
      </w:r>
      <w:r>
        <w:rPr>
          <w:rFonts w:asciiTheme="majorHAnsi" w:eastAsia="Times New Roman" w:hAnsiTheme="majorHAnsi" w:cstheme="majorHAnsi"/>
          <w:kern w:val="0"/>
          <w:sz w:val="24"/>
          <w:szCs w:val="24"/>
          <w:lang w:val="es-BO" w:eastAsia="es-BO"/>
          <w14:ligatures w14:val="none"/>
        </w:rPr>
        <w:t xml:space="preserve"> TCO</w:t>
      </w:r>
      <w:r w:rsidRPr="00B744D8">
        <w:rPr>
          <w:rFonts w:asciiTheme="majorHAnsi" w:eastAsia="Times New Roman" w:hAnsiTheme="majorHAnsi" w:cstheme="majorHAnsi"/>
          <w:kern w:val="0"/>
          <w:sz w:val="24"/>
          <w:szCs w:val="24"/>
          <w:lang w:val="es-BO" w:eastAsia="es-BO"/>
          <w14:ligatures w14:val="none"/>
        </w:rPr>
        <w:t xml:space="preserve"> Monte Verde y </w:t>
      </w:r>
      <w:r>
        <w:rPr>
          <w:rFonts w:asciiTheme="majorHAnsi" w:eastAsia="Times New Roman" w:hAnsiTheme="majorHAnsi" w:cstheme="majorHAnsi"/>
          <w:kern w:val="0"/>
          <w:sz w:val="24"/>
          <w:szCs w:val="24"/>
          <w:lang w:val="es-BO" w:eastAsia="es-BO"/>
          <w14:ligatures w14:val="none"/>
        </w:rPr>
        <w:t xml:space="preserve">la </w:t>
      </w:r>
      <w:r w:rsidRPr="00B744D8">
        <w:rPr>
          <w:rFonts w:asciiTheme="majorHAnsi" w:eastAsia="Times New Roman" w:hAnsiTheme="majorHAnsi" w:cstheme="majorHAnsi"/>
          <w:kern w:val="0"/>
          <w:sz w:val="24"/>
          <w:szCs w:val="24"/>
          <w:lang w:val="es-BO" w:eastAsia="es-BO"/>
          <w14:ligatures w14:val="none"/>
        </w:rPr>
        <w:t>Provincia Velasco</w:t>
      </w:r>
    </w:p>
    <w:bookmarkEnd w:id="0"/>
    <w:p w14:paraId="53870BB3" w14:textId="0C686F7C" w:rsidR="00A778FF" w:rsidRPr="0038630C" w:rsidRDefault="00A778FF" w:rsidP="0038630C">
      <w:pPr>
        <w:pStyle w:val="Prrafodelista"/>
        <w:numPr>
          <w:ilvl w:val="0"/>
          <w:numId w:val="2"/>
        </w:numPr>
        <w:spacing w:before="100" w:beforeAutospacing="1" w:after="100" w:afterAutospacing="1" w:line="240" w:lineRule="auto"/>
        <w:ind w:left="567" w:hanging="567"/>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Duración, costo y forma de pago</w:t>
      </w:r>
    </w:p>
    <w:p w14:paraId="75CDA5DC" w14:textId="1062D2E4" w:rsidR="00F0174C" w:rsidRPr="0038630C" w:rsidRDefault="00F0174C"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lastRenderedPageBreak/>
        <w:t>La consultoría tendrá una duración estimada de hasta seis (6) meses,</w:t>
      </w:r>
      <w:r w:rsidR="00B744D8">
        <w:rPr>
          <w:rFonts w:asciiTheme="majorHAnsi" w:eastAsia="Times New Roman" w:hAnsiTheme="majorHAnsi" w:cstheme="majorHAnsi"/>
          <w:kern w:val="0"/>
          <w:sz w:val="24"/>
          <w:szCs w:val="24"/>
          <w:lang w:val="es-BO" w:eastAsia="es-BO"/>
          <w14:ligatures w14:val="none"/>
        </w:rPr>
        <w:t xml:space="preserve"> iniciando el 1ro de junio del 2026,</w:t>
      </w:r>
      <w:r w:rsidRPr="0038630C">
        <w:rPr>
          <w:rFonts w:asciiTheme="majorHAnsi" w:eastAsia="Times New Roman" w:hAnsiTheme="majorHAnsi" w:cstheme="majorHAnsi"/>
          <w:kern w:val="0"/>
          <w:sz w:val="24"/>
          <w:szCs w:val="24"/>
          <w:lang w:val="es-BO" w:eastAsia="es-BO"/>
          <w14:ligatures w14:val="none"/>
        </w:rPr>
        <w:t xml:space="preserve"> periodo en el cual se desarrollarán de manera articulada las distintas etapas de trabajo, incluyendo:</w:t>
      </w:r>
    </w:p>
    <w:p w14:paraId="6D60E36D" w14:textId="77777777" w:rsidR="00F0174C" w:rsidRPr="0038630C" w:rsidRDefault="00F0174C" w:rsidP="0038630C">
      <w:pPr>
        <w:numPr>
          <w:ilvl w:val="0"/>
          <w:numId w:val="7"/>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Planificación metodológica y coordinación inicial. </w:t>
      </w:r>
    </w:p>
    <w:p w14:paraId="3901CC34" w14:textId="77777777" w:rsidR="00F0174C" w:rsidRPr="0038630C" w:rsidRDefault="00F0174C" w:rsidP="0038630C">
      <w:pPr>
        <w:numPr>
          <w:ilvl w:val="0"/>
          <w:numId w:val="7"/>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Levantamiento de información y trabajo de campo. </w:t>
      </w:r>
    </w:p>
    <w:p w14:paraId="1503A742" w14:textId="77777777" w:rsidR="00F0174C" w:rsidRPr="0038630C" w:rsidRDefault="00F0174C" w:rsidP="0038630C">
      <w:pPr>
        <w:numPr>
          <w:ilvl w:val="0"/>
          <w:numId w:val="7"/>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Entrevistas y validación con actores clave. </w:t>
      </w:r>
    </w:p>
    <w:p w14:paraId="48344393" w14:textId="77777777" w:rsidR="00F0174C" w:rsidRPr="0038630C" w:rsidRDefault="00F0174C" w:rsidP="0038630C">
      <w:pPr>
        <w:numPr>
          <w:ilvl w:val="0"/>
          <w:numId w:val="7"/>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Procesamiento y análisis de información. </w:t>
      </w:r>
    </w:p>
    <w:p w14:paraId="18114BE0" w14:textId="77777777" w:rsidR="00F0174C" w:rsidRPr="0038630C" w:rsidRDefault="00F0174C" w:rsidP="0038630C">
      <w:pPr>
        <w:numPr>
          <w:ilvl w:val="0"/>
          <w:numId w:val="7"/>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Elaboración y presentación de productos. </w:t>
      </w:r>
    </w:p>
    <w:p w14:paraId="6A98924F" w14:textId="77777777" w:rsidR="00F0174C" w:rsidRPr="0038630C" w:rsidRDefault="00F0174C" w:rsidP="0038630C">
      <w:pPr>
        <w:numPr>
          <w:ilvl w:val="0"/>
          <w:numId w:val="7"/>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Validación técnica de resultados y ajustes finales. </w:t>
      </w:r>
    </w:p>
    <w:p w14:paraId="7A31DAE7" w14:textId="77777777" w:rsidR="00F0174C" w:rsidRPr="0038630C" w:rsidRDefault="00F0174C"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El costo total de la consultoría asciende a </w:t>
      </w:r>
      <w:r w:rsidRPr="0038630C">
        <w:rPr>
          <w:rFonts w:asciiTheme="majorHAnsi" w:eastAsia="Times New Roman" w:hAnsiTheme="majorHAnsi" w:cstheme="majorHAnsi"/>
          <w:b/>
          <w:bCs/>
          <w:kern w:val="0"/>
          <w:sz w:val="24"/>
          <w:szCs w:val="24"/>
          <w:lang w:val="es-BO" w:eastAsia="es-BO"/>
          <w14:ligatures w14:val="none"/>
        </w:rPr>
        <w:t>Bs 70.000,00 (Setenta mil 00/100 bolivianos)</w:t>
      </w:r>
      <w:r w:rsidRPr="0038630C">
        <w:rPr>
          <w:rFonts w:asciiTheme="majorHAnsi" w:eastAsia="Times New Roman" w:hAnsiTheme="majorHAnsi" w:cstheme="majorHAnsi"/>
          <w:kern w:val="0"/>
          <w:sz w:val="24"/>
          <w:szCs w:val="24"/>
          <w:lang w:val="es-BO" w:eastAsia="es-BO"/>
          <w14:ligatures w14:val="none"/>
        </w:rPr>
        <w:t>.</w:t>
      </w:r>
    </w:p>
    <w:p w14:paraId="65A7D9EF" w14:textId="77777777" w:rsidR="00F0174C" w:rsidRPr="0038630C" w:rsidRDefault="00F0174C"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El pago se realizará contra entrega y aprobación de los productos establecidos en los presentes Términos de Referencia, de acuerdo con el siguiente detalle: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1"/>
        <w:gridCol w:w="4332"/>
        <w:gridCol w:w="1172"/>
      </w:tblGrid>
      <w:tr w:rsidR="00663E76" w:rsidRPr="0038630C" w14:paraId="00C3251F" w14:textId="77777777" w:rsidTr="00E968D6">
        <w:trPr>
          <w:tblHeader/>
          <w:tblCellSpacing w:w="15" w:type="dxa"/>
        </w:trPr>
        <w:tc>
          <w:tcPr>
            <w:tcW w:w="1226" w:type="dxa"/>
            <w:vAlign w:val="center"/>
            <w:hideMark/>
          </w:tcPr>
          <w:p w14:paraId="73609624" w14:textId="77777777" w:rsidR="00663E76" w:rsidRPr="0038630C" w:rsidRDefault="00663E76" w:rsidP="0038630C">
            <w:pPr>
              <w:spacing w:after="0" w:line="240" w:lineRule="auto"/>
              <w:jc w:val="both"/>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Producto</w:t>
            </w:r>
          </w:p>
        </w:tc>
        <w:tc>
          <w:tcPr>
            <w:tcW w:w="4302" w:type="dxa"/>
            <w:vAlign w:val="center"/>
            <w:hideMark/>
          </w:tcPr>
          <w:p w14:paraId="5B6CC7A1" w14:textId="77777777" w:rsidR="00663E76" w:rsidRPr="0038630C" w:rsidRDefault="00663E76" w:rsidP="0038630C">
            <w:pPr>
              <w:spacing w:after="0" w:line="240" w:lineRule="auto"/>
              <w:jc w:val="both"/>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Descripción</w:t>
            </w:r>
          </w:p>
        </w:tc>
        <w:tc>
          <w:tcPr>
            <w:tcW w:w="0" w:type="auto"/>
            <w:vAlign w:val="center"/>
            <w:hideMark/>
          </w:tcPr>
          <w:p w14:paraId="095E467F" w14:textId="77777777" w:rsidR="00663E76" w:rsidRPr="0038630C" w:rsidRDefault="00663E76" w:rsidP="0038630C">
            <w:pPr>
              <w:spacing w:after="0" w:line="240" w:lineRule="auto"/>
              <w:jc w:val="both"/>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Monto (Bs)</w:t>
            </w:r>
          </w:p>
        </w:tc>
      </w:tr>
      <w:tr w:rsidR="00663E76" w:rsidRPr="0038630C" w14:paraId="7A6C623C" w14:textId="77777777" w:rsidTr="00E968D6">
        <w:trPr>
          <w:tblCellSpacing w:w="15" w:type="dxa"/>
        </w:trPr>
        <w:tc>
          <w:tcPr>
            <w:tcW w:w="1226" w:type="dxa"/>
            <w:vAlign w:val="center"/>
            <w:hideMark/>
          </w:tcPr>
          <w:p w14:paraId="5973C577"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Producto 1</w:t>
            </w:r>
          </w:p>
        </w:tc>
        <w:tc>
          <w:tcPr>
            <w:tcW w:w="4302" w:type="dxa"/>
            <w:vAlign w:val="center"/>
            <w:hideMark/>
          </w:tcPr>
          <w:p w14:paraId="496B50B4"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Plan de trabajo de la consultoría</w:t>
            </w:r>
          </w:p>
        </w:tc>
        <w:tc>
          <w:tcPr>
            <w:tcW w:w="0" w:type="auto"/>
            <w:vAlign w:val="center"/>
            <w:hideMark/>
          </w:tcPr>
          <w:p w14:paraId="738CC4F2" w14:textId="6836A0B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hAnsiTheme="majorHAnsi" w:cstheme="majorHAnsi"/>
                <w:color w:val="000000"/>
                <w:sz w:val="24"/>
                <w:szCs w:val="24"/>
                <w:lang w:val="es-BO"/>
              </w:rPr>
              <w:t>11.000</w:t>
            </w:r>
          </w:p>
        </w:tc>
      </w:tr>
      <w:tr w:rsidR="00663E76" w:rsidRPr="0038630C" w14:paraId="13AFC76A" w14:textId="77777777" w:rsidTr="00E968D6">
        <w:trPr>
          <w:tblCellSpacing w:w="15" w:type="dxa"/>
        </w:trPr>
        <w:tc>
          <w:tcPr>
            <w:tcW w:w="1226" w:type="dxa"/>
            <w:vAlign w:val="center"/>
            <w:hideMark/>
          </w:tcPr>
          <w:p w14:paraId="2B018E69"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Producto 2</w:t>
            </w:r>
          </w:p>
        </w:tc>
        <w:tc>
          <w:tcPr>
            <w:tcW w:w="4302" w:type="dxa"/>
            <w:vAlign w:val="center"/>
            <w:hideMark/>
          </w:tcPr>
          <w:p w14:paraId="75C11A4C"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Documento metodológico y priorización de productos</w:t>
            </w:r>
          </w:p>
        </w:tc>
        <w:tc>
          <w:tcPr>
            <w:tcW w:w="0" w:type="auto"/>
            <w:vAlign w:val="center"/>
            <w:hideMark/>
          </w:tcPr>
          <w:p w14:paraId="7C1383AF" w14:textId="7AFC9FA1"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hAnsiTheme="majorHAnsi" w:cstheme="majorHAnsi"/>
                <w:color w:val="000000"/>
                <w:sz w:val="24"/>
                <w:szCs w:val="24"/>
                <w:lang w:val="es-BO"/>
              </w:rPr>
              <w:t>12.000</w:t>
            </w:r>
          </w:p>
        </w:tc>
      </w:tr>
      <w:tr w:rsidR="00663E76" w:rsidRPr="0038630C" w14:paraId="560764AB" w14:textId="77777777" w:rsidTr="00E968D6">
        <w:trPr>
          <w:tblCellSpacing w:w="15" w:type="dxa"/>
        </w:trPr>
        <w:tc>
          <w:tcPr>
            <w:tcW w:w="1226" w:type="dxa"/>
            <w:vAlign w:val="center"/>
            <w:hideMark/>
          </w:tcPr>
          <w:p w14:paraId="5981E447"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Producto 3</w:t>
            </w:r>
          </w:p>
        </w:tc>
        <w:tc>
          <w:tcPr>
            <w:tcW w:w="4302" w:type="dxa"/>
            <w:vAlign w:val="center"/>
            <w:hideMark/>
          </w:tcPr>
          <w:p w14:paraId="671F6F87"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Estudio de mercado focalizado</w:t>
            </w:r>
          </w:p>
        </w:tc>
        <w:tc>
          <w:tcPr>
            <w:tcW w:w="0" w:type="auto"/>
            <w:vAlign w:val="center"/>
            <w:hideMark/>
          </w:tcPr>
          <w:p w14:paraId="5E4D4971" w14:textId="2C1D1AB0"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hAnsiTheme="majorHAnsi" w:cstheme="majorHAnsi"/>
                <w:color w:val="000000"/>
                <w:sz w:val="24"/>
                <w:szCs w:val="24"/>
                <w:lang w:val="es-BO"/>
              </w:rPr>
              <w:t>11.500</w:t>
            </w:r>
          </w:p>
        </w:tc>
      </w:tr>
      <w:tr w:rsidR="00663E76" w:rsidRPr="0038630C" w14:paraId="1C005E89" w14:textId="77777777" w:rsidTr="00E968D6">
        <w:trPr>
          <w:tblCellSpacing w:w="15" w:type="dxa"/>
        </w:trPr>
        <w:tc>
          <w:tcPr>
            <w:tcW w:w="1226" w:type="dxa"/>
            <w:vAlign w:val="center"/>
            <w:hideMark/>
          </w:tcPr>
          <w:p w14:paraId="74ADCE2F"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Producto 4</w:t>
            </w:r>
          </w:p>
        </w:tc>
        <w:tc>
          <w:tcPr>
            <w:tcW w:w="4302" w:type="dxa"/>
            <w:vAlign w:val="center"/>
            <w:hideMark/>
          </w:tcPr>
          <w:p w14:paraId="4ACBC7A7"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Análisis simplificado de la cadena de valor</w:t>
            </w:r>
          </w:p>
        </w:tc>
        <w:tc>
          <w:tcPr>
            <w:tcW w:w="0" w:type="auto"/>
            <w:vAlign w:val="center"/>
            <w:hideMark/>
          </w:tcPr>
          <w:p w14:paraId="3A2441E2" w14:textId="4EFD2DB3"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hAnsiTheme="majorHAnsi" w:cstheme="majorHAnsi"/>
                <w:color w:val="000000"/>
                <w:sz w:val="24"/>
                <w:szCs w:val="24"/>
                <w:lang w:val="es-BO"/>
              </w:rPr>
              <w:t>12.000</w:t>
            </w:r>
          </w:p>
        </w:tc>
      </w:tr>
      <w:tr w:rsidR="00663E76" w:rsidRPr="0038630C" w14:paraId="27FB0825" w14:textId="77777777" w:rsidTr="00E968D6">
        <w:trPr>
          <w:tblCellSpacing w:w="15" w:type="dxa"/>
        </w:trPr>
        <w:tc>
          <w:tcPr>
            <w:tcW w:w="1226" w:type="dxa"/>
            <w:vAlign w:val="center"/>
            <w:hideMark/>
          </w:tcPr>
          <w:p w14:paraId="553762AB"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Producto 5</w:t>
            </w:r>
          </w:p>
        </w:tc>
        <w:tc>
          <w:tcPr>
            <w:tcW w:w="4302" w:type="dxa"/>
            <w:vAlign w:val="center"/>
            <w:hideMark/>
          </w:tcPr>
          <w:p w14:paraId="48D11D1A"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Estrategia comercial inicial</w:t>
            </w:r>
          </w:p>
        </w:tc>
        <w:tc>
          <w:tcPr>
            <w:tcW w:w="0" w:type="auto"/>
            <w:vAlign w:val="center"/>
            <w:hideMark/>
          </w:tcPr>
          <w:p w14:paraId="1DD24DB0" w14:textId="5D96ED8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hAnsiTheme="majorHAnsi" w:cstheme="majorHAnsi"/>
                <w:color w:val="000000"/>
                <w:sz w:val="24"/>
                <w:szCs w:val="24"/>
                <w:lang w:val="es-BO"/>
              </w:rPr>
              <w:t>11.500</w:t>
            </w:r>
          </w:p>
        </w:tc>
      </w:tr>
      <w:tr w:rsidR="00663E76" w:rsidRPr="0038630C" w14:paraId="792B6578" w14:textId="77777777" w:rsidTr="00E968D6">
        <w:trPr>
          <w:tblCellSpacing w:w="15" w:type="dxa"/>
        </w:trPr>
        <w:tc>
          <w:tcPr>
            <w:tcW w:w="1226" w:type="dxa"/>
            <w:vAlign w:val="center"/>
            <w:hideMark/>
          </w:tcPr>
          <w:p w14:paraId="6474378D"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Producto 6</w:t>
            </w:r>
          </w:p>
        </w:tc>
        <w:tc>
          <w:tcPr>
            <w:tcW w:w="4302" w:type="dxa"/>
            <w:vAlign w:val="center"/>
            <w:hideMark/>
          </w:tcPr>
          <w:p w14:paraId="5983FA55"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Modelo de negocio piloto para el aserrío móvil comunitario</w:t>
            </w:r>
          </w:p>
        </w:tc>
        <w:tc>
          <w:tcPr>
            <w:tcW w:w="0" w:type="auto"/>
            <w:vAlign w:val="center"/>
            <w:hideMark/>
          </w:tcPr>
          <w:p w14:paraId="7EB82333" w14:textId="1B78BF35"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hAnsiTheme="majorHAnsi" w:cstheme="majorHAnsi"/>
                <w:color w:val="000000"/>
                <w:sz w:val="24"/>
                <w:szCs w:val="24"/>
                <w:lang w:val="es-BO"/>
              </w:rPr>
              <w:t>12.000</w:t>
            </w:r>
          </w:p>
        </w:tc>
      </w:tr>
      <w:tr w:rsidR="00663E76" w:rsidRPr="0038630C" w14:paraId="03D2568A" w14:textId="77777777" w:rsidTr="00E968D6">
        <w:trPr>
          <w:tblCellSpacing w:w="15" w:type="dxa"/>
        </w:trPr>
        <w:tc>
          <w:tcPr>
            <w:tcW w:w="1226" w:type="dxa"/>
            <w:vAlign w:val="center"/>
            <w:hideMark/>
          </w:tcPr>
          <w:p w14:paraId="10E095DF"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TOTAL</w:t>
            </w:r>
          </w:p>
        </w:tc>
        <w:tc>
          <w:tcPr>
            <w:tcW w:w="4302" w:type="dxa"/>
            <w:vAlign w:val="center"/>
            <w:hideMark/>
          </w:tcPr>
          <w:p w14:paraId="12E2476F"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p>
        </w:tc>
        <w:tc>
          <w:tcPr>
            <w:tcW w:w="0" w:type="auto"/>
            <w:vAlign w:val="center"/>
            <w:hideMark/>
          </w:tcPr>
          <w:p w14:paraId="2AC2876E" w14:textId="77777777" w:rsidR="00663E76" w:rsidRPr="0038630C" w:rsidRDefault="00663E76" w:rsidP="0038630C">
            <w:pPr>
              <w:spacing w:after="0"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70.000</w:t>
            </w:r>
          </w:p>
        </w:tc>
      </w:tr>
    </w:tbl>
    <w:p w14:paraId="374E9BDD" w14:textId="77777777" w:rsidR="00F0174C" w:rsidRPr="0038630C" w:rsidRDefault="00F0174C"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Los pagos serán efectuados una vez que cada producto haya sido revisado y aprobado por la supervisión de la consultoría.</w:t>
      </w:r>
    </w:p>
    <w:p w14:paraId="0F6E7F7F" w14:textId="77777777" w:rsidR="00220475" w:rsidRPr="0038630C"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El/la consultor/a deberá presentar:</w:t>
      </w:r>
    </w:p>
    <w:p w14:paraId="1D1DE1C3" w14:textId="77777777" w:rsidR="00220475" w:rsidRPr="0038630C" w:rsidRDefault="00220475" w:rsidP="00220475">
      <w:pPr>
        <w:numPr>
          <w:ilvl w:val="0"/>
          <w:numId w:val="8"/>
        </w:num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Factura correspondiente por cada producto entregado.</w:t>
      </w:r>
      <w:r>
        <w:rPr>
          <w:rFonts w:asciiTheme="majorHAnsi" w:eastAsia="Times New Roman" w:hAnsiTheme="majorHAnsi" w:cstheme="majorHAnsi"/>
          <w:kern w:val="0"/>
          <w:sz w:val="24"/>
          <w:szCs w:val="24"/>
          <w:lang w:val="es-BO" w:eastAsia="es-BO"/>
          <w14:ligatures w14:val="none"/>
        </w:rPr>
        <w:t xml:space="preserve"> </w:t>
      </w:r>
      <w:r w:rsidRPr="00863ECE">
        <w:rPr>
          <w:rFonts w:asciiTheme="majorHAnsi" w:eastAsia="Times New Roman" w:hAnsiTheme="majorHAnsi" w:cstheme="majorHAnsi"/>
          <w:kern w:val="0"/>
          <w:sz w:val="24"/>
          <w:szCs w:val="24"/>
          <w:lang w:val="es-BO" w:eastAsia="es-BO"/>
          <w14:ligatures w14:val="none"/>
        </w:rPr>
        <w:t xml:space="preserve">(en caso contrario se procederá con el descuento por retención impositiva del 16%) </w:t>
      </w:r>
      <w:r w:rsidRPr="0038630C">
        <w:rPr>
          <w:rFonts w:asciiTheme="majorHAnsi" w:eastAsia="Times New Roman" w:hAnsiTheme="majorHAnsi" w:cstheme="majorHAnsi"/>
          <w:kern w:val="0"/>
          <w:sz w:val="24"/>
          <w:szCs w:val="24"/>
          <w:lang w:val="es-BO" w:eastAsia="es-BO"/>
          <w14:ligatures w14:val="none"/>
        </w:rPr>
        <w:t xml:space="preserve"> </w:t>
      </w:r>
    </w:p>
    <w:p w14:paraId="1E6AB947" w14:textId="77777777" w:rsidR="00220475" w:rsidRPr="00863ECE" w:rsidRDefault="00220475" w:rsidP="00220475">
      <w:pPr>
        <w:pStyle w:val="Prrafodelista"/>
        <w:numPr>
          <w:ilvl w:val="0"/>
          <w:numId w:val="8"/>
        </w:numPr>
        <w:autoSpaceDE w:val="0"/>
        <w:autoSpaceDN w:val="0"/>
        <w:adjustRightInd w:val="0"/>
        <w:spacing w:after="0" w:line="240" w:lineRule="auto"/>
        <w:rPr>
          <w:rFonts w:asciiTheme="majorHAnsi" w:hAnsiTheme="majorHAnsi" w:cstheme="majorHAnsi"/>
          <w:sz w:val="24"/>
          <w:szCs w:val="24"/>
          <w:lang w:val="es-BO"/>
        </w:rPr>
      </w:pPr>
      <w:r w:rsidRPr="00863ECE">
        <w:rPr>
          <w:rFonts w:asciiTheme="majorHAnsi" w:hAnsiTheme="majorHAnsi" w:cstheme="majorHAnsi"/>
          <w:sz w:val="24"/>
          <w:szCs w:val="24"/>
          <w:lang w:val="es-BO"/>
        </w:rPr>
        <w:t xml:space="preserve">Pago a la Gestora de seguridad social correspondiente. </w:t>
      </w:r>
    </w:p>
    <w:p w14:paraId="5B291F98" w14:textId="079EE156" w:rsidR="00A778FF" w:rsidRPr="0038630C" w:rsidRDefault="00F0174C"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La institución cubrirá los costos de alimentación, hospedaje y transporte requeridos para los viajes de trabajo de campo previamente coordinados y autorizados en el marco de la consultoría.</w:t>
      </w:r>
    </w:p>
    <w:p w14:paraId="50C268BE" w14:textId="020AE3FA" w:rsidR="00A778FF" w:rsidRPr="0038630C" w:rsidRDefault="00A778FF" w:rsidP="0038630C">
      <w:pPr>
        <w:pStyle w:val="Prrafodelista"/>
        <w:numPr>
          <w:ilvl w:val="0"/>
          <w:numId w:val="2"/>
        </w:numPr>
        <w:spacing w:before="100" w:beforeAutospacing="1" w:after="100" w:afterAutospacing="1" w:line="240" w:lineRule="auto"/>
        <w:ind w:left="426" w:hanging="426"/>
        <w:jc w:val="both"/>
        <w:outlineLvl w:val="1"/>
        <w:rPr>
          <w:rFonts w:asciiTheme="majorHAnsi" w:eastAsia="Times New Roman" w:hAnsiTheme="majorHAnsi" w:cstheme="majorHAnsi"/>
          <w:b/>
          <w:bCs/>
          <w:kern w:val="0"/>
          <w:sz w:val="24"/>
          <w:szCs w:val="24"/>
          <w:lang w:val="es-BO" w:eastAsia="es-BO"/>
          <w14:ligatures w14:val="none"/>
        </w:rPr>
      </w:pPr>
      <w:r w:rsidRPr="0038630C">
        <w:rPr>
          <w:rFonts w:asciiTheme="majorHAnsi" w:eastAsia="Times New Roman" w:hAnsiTheme="majorHAnsi" w:cstheme="majorHAnsi"/>
          <w:b/>
          <w:bCs/>
          <w:kern w:val="0"/>
          <w:sz w:val="24"/>
          <w:szCs w:val="24"/>
          <w:lang w:val="es-BO" w:eastAsia="es-BO"/>
          <w14:ligatures w14:val="none"/>
        </w:rPr>
        <w:t>Coordinación y supervisión</w:t>
      </w:r>
    </w:p>
    <w:p w14:paraId="7A405666" w14:textId="6E7EACED" w:rsidR="00C12BC6" w:rsidRDefault="00C12BC6" w:rsidP="0038630C">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El/la consultor/a trabajará en coordinación y bajo la supervisión del responsable del Proyecto Stihl.</w:t>
      </w:r>
    </w:p>
    <w:p w14:paraId="15DACA63" w14:textId="438EE091" w:rsidR="00220475" w:rsidRPr="00220475" w:rsidRDefault="00220475" w:rsidP="00220475">
      <w:pPr>
        <w:pStyle w:val="Prrafodelista"/>
        <w:numPr>
          <w:ilvl w:val="0"/>
          <w:numId w:val="2"/>
        </w:numPr>
        <w:spacing w:before="100" w:beforeAutospacing="1" w:after="100" w:afterAutospacing="1" w:line="240" w:lineRule="auto"/>
        <w:jc w:val="both"/>
        <w:rPr>
          <w:rFonts w:asciiTheme="majorHAnsi" w:eastAsia="Times New Roman" w:hAnsiTheme="majorHAnsi" w:cstheme="majorHAnsi"/>
          <w:b/>
          <w:bCs/>
          <w:kern w:val="0"/>
          <w:sz w:val="24"/>
          <w:szCs w:val="24"/>
          <w:lang w:val="es-BO" w:eastAsia="es-BO"/>
          <w14:ligatures w14:val="none"/>
        </w:rPr>
      </w:pPr>
      <w:bookmarkStart w:id="1" w:name="_Hlk229558794"/>
      <w:r w:rsidRPr="00220475">
        <w:rPr>
          <w:rFonts w:asciiTheme="majorHAnsi" w:eastAsia="Times New Roman" w:hAnsiTheme="majorHAnsi" w:cstheme="majorHAnsi"/>
          <w:b/>
          <w:bCs/>
          <w:kern w:val="0"/>
          <w:sz w:val="24"/>
          <w:szCs w:val="24"/>
          <w:lang w:val="es-BO" w:eastAsia="es-BO"/>
          <w14:ligatures w14:val="none"/>
        </w:rPr>
        <w:lastRenderedPageBreak/>
        <w:t>Envío y Plazo de postulación</w:t>
      </w:r>
    </w:p>
    <w:p w14:paraId="059306CB" w14:textId="442B9B2F" w:rsidR="00220475" w:rsidRPr="00863ECE"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863ECE">
        <w:rPr>
          <w:rFonts w:asciiTheme="majorHAnsi" w:eastAsia="Times New Roman" w:hAnsiTheme="majorHAnsi" w:cstheme="majorHAnsi"/>
          <w:kern w:val="0"/>
          <w:sz w:val="24"/>
          <w:szCs w:val="24"/>
          <w:lang w:val="es-BO" w:eastAsia="es-BO"/>
          <w14:ligatures w14:val="none"/>
        </w:rPr>
        <w:t>Los profesionales interesados deberán presentar su postulación  hasta el 2</w:t>
      </w:r>
      <w:r w:rsidR="007829DE">
        <w:rPr>
          <w:rFonts w:asciiTheme="majorHAnsi" w:eastAsia="Times New Roman" w:hAnsiTheme="majorHAnsi" w:cstheme="majorHAnsi"/>
          <w:kern w:val="0"/>
          <w:sz w:val="24"/>
          <w:szCs w:val="24"/>
          <w:lang w:val="es-BO" w:eastAsia="es-BO"/>
          <w14:ligatures w14:val="none"/>
        </w:rPr>
        <w:t>2</w:t>
      </w:r>
      <w:r w:rsidRPr="00863ECE">
        <w:rPr>
          <w:rFonts w:asciiTheme="majorHAnsi" w:eastAsia="Times New Roman" w:hAnsiTheme="majorHAnsi" w:cstheme="majorHAnsi"/>
          <w:kern w:val="0"/>
          <w:sz w:val="24"/>
          <w:szCs w:val="24"/>
          <w:lang w:val="es-BO" w:eastAsia="es-BO"/>
          <w14:ligatures w14:val="none"/>
        </w:rPr>
        <w:t xml:space="preserve"> mayo al correo electrónico </w:t>
      </w:r>
      <w:hyperlink r:id="rId7" w:history="1">
        <w:r w:rsidRPr="00863ECE">
          <w:rPr>
            <w:rStyle w:val="Hipervnculo"/>
            <w:rFonts w:asciiTheme="majorHAnsi" w:eastAsia="Times New Roman" w:hAnsiTheme="majorHAnsi" w:cstheme="majorHAnsi"/>
            <w:kern w:val="0"/>
            <w:sz w:val="24"/>
            <w:szCs w:val="24"/>
            <w:lang w:val="es-BO" w:eastAsia="es-BO"/>
            <w14:ligatures w14:val="none"/>
          </w:rPr>
          <w:t>ibif@ibifbolivia.org.bo</w:t>
        </w:r>
      </w:hyperlink>
      <w:r>
        <w:rPr>
          <w:rFonts w:asciiTheme="majorHAnsi" w:eastAsia="Times New Roman" w:hAnsiTheme="majorHAnsi" w:cstheme="majorHAnsi"/>
          <w:kern w:val="0"/>
          <w:sz w:val="24"/>
          <w:szCs w:val="24"/>
          <w:lang w:val="es-BO" w:eastAsia="es-BO"/>
          <w14:ligatures w14:val="none"/>
        </w:rPr>
        <w:t xml:space="preserve"> / </w:t>
      </w:r>
      <w:hyperlink r:id="rId8" w:history="1">
        <w:r w:rsidRPr="00436AC2">
          <w:rPr>
            <w:rStyle w:val="Hipervnculo"/>
            <w:rFonts w:asciiTheme="majorHAnsi" w:eastAsia="Times New Roman" w:hAnsiTheme="majorHAnsi" w:cstheme="majorHAnsi"/>
            <w:kern w:val="0"/>
            <w:sz w:val="24"/>
            <w:szCs w:val="24"/>
            <w:lang w:val="es-BO" w:eastAsia="es-BO"/>
            <w14:ligatures w14:val="none"/>
          </w:rPr>
          <w:t>jpbaldiviezo@ibifbolivia.org.bo</w:t>
        </w:r>
      </w:hyperlink>
    </w:p>
    <w:p w14:paraId="74785084" w14:textId="77777777" w:rsidR="00220475" w:rsidRPr="00863ECE"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863ECE">
        <w:rPr>
          <w:rFonts w:asciiTheme="majorHAnsi" w:eastAsia="Times New Roman" w:hAnsiTheme="majorHAnsi" w:cstheme="majorHAnsi"/>
          <w:kern w:val="0"/>
          <w:sz w:val="24"/>
          <w:szCs w:val="24"/>
          <w:lang w:val="es-BO" w:eastAsia="es-BO"/>
          <w14:ligatures w14:val="none"/>
        </w:rPr>
        <w:t xml:space="preserve">La postulación debe contener mínimamente: </w:t>
      </w:r>
    </w:p>
    <w:p w14:paraId="46B5CFB0" w14:textId="77777777" w:rsidR="00220475" w:rsidRPr="00863ECE"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863ECE">
        <w:rPr>
          <w:rFonts w:asciiTheme="majorHAnsi" w:eastAsia="Times New Roman" w:hAnsiTheme="majorHAnsi" w:cstheme="majorHAnsi"/>
          <w:kern w:val="0"/>
          <w:sz w:val="24"/>
          <w:szCs w:val="24"/>
          <w:lang w:val="es-BO" w:eastAsia="es-BO"/>
          <w14:ligatures w14:val="none"/>
        </w:rPr>
        <w:t>•</w:t>
      </w:r>
      <w:r w:rsidRPr="00863ECE">
        <w:rPr>
          <w:rFonts w:asciiTheme="majorHAnsi" w:eastAsia="Times New Roman" w:hAnsiTheme="majorHAnsi" w:cstheme="majorHAnsi"/>
          <w:kern w:val="0"/>
          <w:sz w:val="24"/>
          <w:szCs w:val="24"/>
          <w:lang w:val="es-BO" w:eastAsia="es-BO"/>
          <w14:ligatures w14:val="none"/>
        </w:rPr>
        <w:tab/>
        <w:t xml:space="preserve">Carta de presentación dirigida al Instituto Boliviano de Investigación Forestal </w:t>
      </w:r>
    </w:p>
    <w:p w14:paraId="47ED76F7" w14:textId="77777777" w:rsidR="00220475" w:rsidRPr="00863ECE"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863ECE">
        <w:rPr>
          <w:rFonts w:asciiTheme="majorHAnsi" w:eastAsia="Times New Roman" w:hAnsiTheme="majorHAnsi" w:cstheme="majorHAnsi"/>
          <w:kern w:val="0"/>
          <w:sz w:val="24"/>
          <w:szCs w:val="24"/>
          <w:lang w:val="es-BO" w:eastAsia="es-BO"/>
          <w14:ligatures w14:val="none"/>
        </w:rPr>
        <w:t>•</w:t>
      </w:r>
      <w:r w:rsidRPr="00863ECE">
        <w:rPr>
          <w:rFonts w:asciiTheme="majorHAnsi" w:eastAsia="Times New Roman" w:hAnsiTheme="majorHAnsi" w:cstheme="majorHAnsi"/>
          <w:kern w:val="0"/>
          <w:sz w:val="24"/>
          <w:szCs w:val="24"/>
          <w:lang w:val="es-BO" w:eastAsia="es-BO"/>
          <w14:ligatures w14:val="none"/>
        </w:rPr>
        <w:tab/>
        <w:t>Hoja de vida del consultor</w:t>
      </w:r>
    </w:p>
    <w:p w14:paraId="7BF9CE60" w14:textId="77777777" w:rsidR="00220475"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863ECE">
        <w:rPr>
          <w:rFonts w:asciiTheme="majorHAnsi" w:eastAsia="Times New Roman" w:hAnsiTheme="majorHAnsi" w:cstheme="majorHAnsi"/>
          <w:kern w:val="0"/>
          <w:sz w:val="24"/>
          <w:szCs w:val="24"/>
          <w:lang w:val="es-BO" w:eastAsia="es-BO"/>
          <w14:ligatures w14:val="none"/>
        </w:rPr>
        <w:t>•</w:t>
      </w:r>
      <w:r w:rsidRPr="00863ECE">
        <w:rPr>
          <w:rFonts w:asciiTheme="majorHAnsi" w:eastAsia="Times New Roman" w:hAnsiTheme="majorHAnsi" w:cstheme="majorHAnsi"/>
          <w:kern w:val="0"/>
          <w:sz w:val="24"/>
          <w:szCs w:val="24"/>
          <w:lang w:val="es-BO" w:eastAsia="es-BO"/>
          <w14:ligatures w14:val="none"/>
        </w:rPr>
        <w:tab/>
        <w:t>Certificado de registro a la Gestora Pública.</w:t>
      </w:r>
    </w:p>
    <w:p w14:paraId="396F2140" w14:textId="77777777" w:rsidR="00220475" w:rsidRPr="0038630C"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Nota: SOLO SE CONTACTARÁ A LAS PERSONAS QUE HAYAN PASADO A LA SIGUIENTE FASE DE EVALUACIÓN.</w:t>
      </w:r>
    </w:p>
    <w:p w14:paraId="775B6F23" w14:textId="77777777" w:rsidR="00220475" w:rsidRDefault="00220475" w:rsidP="00220475">
      <w:pPr>
        <w:spacing w:before="100" w:beforeAutospacing="1" w:after="100" w:afterAutospacing="1" w:line="240" w:lineRule="auto"/>
        <w:jc w:val="both"/>
        <w:rPr>
          <w:rFonts w:asciiTheme="majorHAnsi" w:eastAsia="Times New Roman" w:hAnsiTheme="majorHAnsi" w:cstheme="majorHAnsi"/>
          <w:kern w:val="0"/>
          <w:sz w:val="24"/>
          <w:szCs w:val="24"/>
          <w:lang w:val="es-BO" w:eastAsia="es-BO"/>
          <w14:ligatures w14:val="none"/>
        </w:rPr>
      </w:pPr>
      <w:r w:rsidRPr="0038630C">
        <w:rPr>
          <w:rFonts w:asciiTheme="majorHAnsi" w:eastAsia="Times New Roman" w:hAnsiTheme="majorHAnsi" w:cstheme="majorHAnsi"/>
          <w:kern w:val="0"/>
          <w:sz w:val="24"/>
          <w:szCs w:val="24"/>
          <w:lang w:val="es-BO" w:eastAsia="es-BO"/>
          <w14:ligatures w14:val="none"/>
        </w:rPr>
        <w:t xml:space="preserve">En caso de tener consultas relacionados a los términos de referencia comunicarse con </w:t>
      </w:r>
      <w:r>
        <w:rPr>
          <w:rFonts w:asciiTheme="majorHAnsi" w:eastAsia="Times New Roman" w:hAnsiTheme="majorHAnsi" w:cstheme="majorHAnsi"/>
          <w:kern w:val="0"/>
          <w:sz w:val="24"/>
          <w:szCs w:val="24"/>
          <w:lang w:val="es-BO" w:eastAsia="es-BO"/>
          <w14:ligatures w14:val="none"/>
        </w:rPr>
        <w:t xml:space="preserve">Juan Pablo Baldiviezo </w:t>
      </w:r>
      <w:r w:rsidRPr="0038630C">
        <w:rPr>
          <w:rFonts w:asciiTheme="majorHAnsi" w:eastAsia="Times New Roman" w:hAnsiTheme="majorHAnsi" w:cstheme="majorHAnsi"/>
          <w:kern w:val="0"/>
          <w:sz w:val="24"/>
          <w:szCs w:val="24"/>
          <w:lang w:val="es-BO" w:eastAsia="es-BO"/>
          <w14:ligatures w14:val="none"/>
        </w:rPr>
        <w:t xml:space="preserve"> al siguiente correo electrónico: </w:t>
      </w:r>
      <w:hyperlink r:id="rId9" w:history="1">
        <w:r w:rsidRPr="00436AC2">
          <w:rPr>
            <w:rStyle w:val="Hipervnculo"/>
            <w:rFonts w:asciiTheme="majorHAnsi" w:eastAsia="Times New Roman" w:hAnsiTheme="majorHAnsi" w:cstheme="majorHAnsi"/>
            <w:kern w:val="0"/>
            <w:sz w:val="24"/>
            <w:szCs w:val="24"/>
            <w:lang w:val="es-BO" w:eastAsia="es-BO"/>
            <w14:ligatures w14:val="none"/>
          </w:rPr>
          <w:t>jpbaldiviezo@ibifbolivia.org.bo</w:t>
        </w:r>
      </w:hyperlink>
    </w:p>
    <w:p w14:paraId="7E8C4711" w14:textId="77777777" w:rsidR="00C12BC6" w:rsidRPr="0038630C" w:rsidRDefault="00C12BC6" w:rsidP="0038630C">
      <w:pPr>
        <w:pStyle w:val="Prrafodelista"/>
        <w:numPr>
          <w:ilvl w:val="0"/>
          <w:numId w:val="2"/>
        </w:numPr>
        <w:ind w:left="567" w:hanging="578"/>
        <w:jc w:val="both"/>
        <w:rPr>
          <w:rFonts w:asciiTheme="majorHAnsi" w:hAnsiTheme="majorHAnsi" w:cstheme="majorHAnsi"/>
          <w:b/>
          <w:bCs/>
          <w:sz w:val="24"/>
          <w:szCs w:val="24"/>
          <w:lang w:val="es-ES"/>
        </w:rPr>
      </w:pPr>
      <w:r w:rsidRPr="0038630C">
        <w:rPr>
          <w:rFonts w:asciiTheme="majorHAnsi" w:hAnsiTheme="majorHAnsi" w:cstheme="majorHAnsi"/>
          <w:b/>
          <w:bCs/>
          <w:sz w:val="24"/>
          <w:szCs w:val="24"/>
          <w:lang w:val="es-ES"/>
        </w:rPr>
        <w:t>Principio de no discriminación, igualdad e inclusión</w:t>
      </w:r>
    </w:p>
    <w:p w14:paraId="267CEFAF" w14:textId="77777777" w:rsidR="0038630C" w:rsidRPr="0038630C" w:rsidRDefault="0038630C" w:rsidP="0038630C">
      <w:pPr>
        <w:spacing w:before="100" w:beforeAutospacing="1" w:after="100" w:afterAutospacing="1" w:line="240" w:lineRule="auto"/>
        <w:jc w:val="both"/>
        <w:rPr>
          <w:rFonts w:asciiTheme="majorHAnsi" w:eastAsia="Times New Roman" w:hAnsiTheme="majorHAnsi" w:cstheme="majorHAnsi"/>
          <w:color w:val="000000"/>
          <w:kern w:val="0"/>
          <w:sz w:val="24"/>
          <w:szCs w:val="24"/>
          <w:lang w:val="es-BO" w:eastAsia="es-BO"/>
          <w14:ligatures w14:val="none"/>
        </w:rPr>
      </w:pPr>
      <w:r w:rsidRPr="0038630C">
        <w:rPr>
          <w:rFonts w:asciiTheme="majorHAnsi" w:eastAsia="Times New Roman" w:hAnsiTheme="majorHAnsi" w:cstheme="majorHAnsi"/>
          <w:color w:val="000000"/>
          <w:kern w:val="0"/>
          <w:sz w:val="24"/>
          <w:szCs w:val="24"/>
          <w:lang w:val="es-BO" w:eastAsia="es-BO"/>
          <w14:ligatures w14:val="none"/>
        </w:rPr>
        <w:t>El IBIF promueve la igualdad de oportunidades y convoca a participar en la presente consultoría a todas las personas interesadas, sin distinción de ningún tipo, reafirmando su compromiso con los principios de igualdad, equidad, inclusión y respeto a la diversidad, garantizando un proceso abierto, transparente y libre de discriminación por motivos de género, identidad, pertenencia cultural, étnica, edad, orientación sexual u otra condición personal o colectiva. Este enfoque se aplicará tanto en el proceso de evaluación y contratación como en la ejecución de todas las actividades desarrolladas en el marco de la presente consultoría</w:t>
      </w:r>
    </w:p>
    <w:bookmarkEnd w:id="1"/>
    <w:p w14:paraId="1DEB0D78" w14:textId="72346F31" w:rsidR="00DF42AA" w:rsidRPr="0038630C" w:rsidRDefault="00DF42AA" w:rsidP="0038630C">
      <w:pPr>
        <w:pStyle w:val="Prrafodelista"/>
        <w:jc w:val="both"/>
        <w:rPr>
          <w:rFonts w:asciiTheme="majorHAnsi" w:hAnsiTheme="majorHAnsi" w:cstheme="majorHAnsi"/>
          <w:sz w:val="24"/>
          <w:szCs w:val="24"/>
          <w:lang w:val="es-BO"/>
        </w:rPr>
      </w:pPr>
    </w:p>
    <w:sectPr w:rsidR="00DF42AA" w:rsidRPr="0038630C">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63040D" w14:textId="77777777" w:rsidR="00700129" w:rsidRDefault="00700129" w:rsidP="0038630C">
      <w:pPr>
        <w:spacing w:after="0" w:line="240" w:lineRule="auto"/>
      </w:pPr>
      <w:r>
        <w:separator/>
      </w:r>
    </w:p>
  </w:endnote>
  <w:endnote w:type="continuationSeparator" w:id="0">
    <w:p w14:paraId="24A7C40C" w14:textId="77777777" w:rsidR="00700129" w:rsidRDefault="00700129" w:rsidP="00386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947D1D" w14:textId="77777777" w:rsidR="00700129" w:rsidRDefault="00700129" w:rsidP="0038630C">
      <w:pPr>
        <w:spacing w:after="0" w:line="240" w:lineRule="auto"/>
      </w:pPr>
      <w:r>
        <w:separator/>
      </w:r>
    </w:p>
  </w:footnote>
  <w:footnote w:type="continuationSeparator" w:id="0">
    <w:p w14:paraId="29E1C0C9" w14:textId="77777777" w:rsidR="00700129" w:rsidRDefault="00700129" w:rsidP="003863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AEFFC7" w14:textId="11BF8890" w:rsidR="0038630C" w:rsidRDefault="0038630C">
    <w:pPr>
      <w:pStyle w:val="Encabezado"/>
    </w:pPr>
    <w:r>
      <w:rPr>
        <w:noProof/>
      </w:rPr>
      <w:drawing>
        <wp:inline distT="0" distB="0" distL="0" distR="0" wp14:anchorId="382C53A0" wp14:editId="51AE0F59">
          <wp:extent cx="1252025" cy="595536"/>
          <wp:effectExtent l="0" t="0" r="571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4785" cy="6063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A1E14"/>
    <w:multiLevelType w:val="multilevel"/>
    <w:tmpl w:val="36BE6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41268"/>
    <w:multiLevelType w:val="multilevel"/>
    <w:tmpl w:val="B108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B63543"/>
    <w:multiLevelType w:val="multilevel"/>
    <w:tmpl w:val="F2287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555E08"/>
    <w:multiLevelType w:val="multilevel"/>
    <w:tmpl w:val="90DE17AC"/>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862755"/>
    <w:multiLevelType w:val="multilevel"/>
    <w:tmpl w:val="F81613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31EB3A6D"/>
    <w:multiLevelType w:val="multilevel"/>
    <w:tmpl w:val="61DE0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E66F63"/>
    <w:multiLevelType w:val="multilevel"/>
    <w:tmpl w:val="E7CC0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66432F"/>
    <w:multiLevelType w:val="hybridMultilevel"/>
    <w:tmpl w:val="37BEFEF6"/>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15:restartNumberingAfterBreak="0">
    <w:nsid w:val="6A674CCF"/>
    <w:multiLevelType w:val="hybridMultilevel"/>
    <w:tmpl w:val="F79A76E8"/>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num w:numId="1">
    <w:abstractNumId w:val="7"/>
  </w:num>
  <w:num w:numId="2">
    <w:abstractNumId w:val="8"/>
  </w:num>
  <w:num w:numId="3">
    <w:abstractNumId w:val="1"/>
  </w:num>
  <w:num w:numId="4">
    <w:abstractNumId w:val="2"/>
  </w:num>
  <w:num w:numId="5">
    <w:abstractNumId w:val="0"/>
  </w:num>
  <w:num w:numId="6">
    <w:abstractNumId w:val="4"/>
  </w:num>
  <w:num w:numId="7">
    <w:abstractNumId w:val="5"/>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04F"/>
    <w:rsid w:val="000C33C3"/>
    <w:rsid w:val="0017704F"/>
    <w:rsid w:val="001A244F"/>
    <w:rsid w:val="001A3BB7"/>
    <w:rsid w:val="00220475"/>
    <w:rsid w:val="002B7691"/>
    <w:rsid w:val="00370663"/>
    <w:rsid w:val="0038630C"/>
    <w:rsid w:val="00430D34"/>
    <w:rsid w:val="004C3A0A"/>
    <w:rsid w:val="005A6914"/>
    <w:rsid w:val="00663E76"/>
    <w:rsid w:val="006E0239"/>
    <w:rsid w:val="00700129"/>
    <w:rsid w:val="007745BF"/>
    <w:rsid w:val="007829DE"/>
    <w:rsid w:val="008A0034"/>
    <w:rsid w:val="00973D5A"/>
    <w:rsid w:val="00991314"/>
    <w:rsid w:val="00A778FF"/>
    <w:rsid w:val="00B1676E"/>
    <w:rsid w:val="00B744D8"/>
    <w:rsid w:val="00BE640E"/>
    <w:rsid w:val="00C07042"/>
    <w:rsid w:val="00C12BC6"/>
    <w:rsid w:val="00C9599C"/>
    <w:rsid w:val="00CB01C9"/>
    <w:rsid w:val="00D63389"/>
    <w:rsid w:val="00DF42AA"/>
    <w:rsid w:val="00E820FC"/>
    <w:rsid w:val="00E968D6"/>
    <w:rsid w:val="00EA262A"/>
    <w:rsid w:val="00F0174C"/>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FA027"/>
  <w15:chartTrackingRefBased/>
  <w15:docId w15:val="{18DBEF47-1D40-4277-9769-1B4B53DD3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s-B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1770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770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7704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7704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7704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7704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7704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7704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7704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7704F"/>
    <w:rPr>
      <w:rFonts w:asciiTheme="majorHAnsi" w:eastAsiaTheme="majorEastAsia" w:hAnsiTheme="majorHAnsi" w:cstheme="majorBidi"/>
      <w:color w:val="2F5496" w:themeColor="accent1" w:themeShade="BF"/>
      <w:sz w:val="40"/>
      <w:szCs w:val="40"/>
      <w:lang w:val="en-US"/>
    </w:rPr>
  </w:style>
  <w:style w:type="character" w:customStyle="1" w:styleId="Ttulo2Car">
    <w:name w:val="Título 2 Car"/>
    <w:basedOn w:val="Fuentedeprrafopredeter"/>
    <w:link w:val="Ttulo2"/>
    <w:uiPriority w:val="9"/>
    <w:rsid w:val="0017704F"/>
    <w:rPr>
      <w:rFonts w:asciiTheme="majorHAnsi" w:eastAsiaTheme="majorEastAsia" w:hAnsiTheme="majorHAnsi" w:cstheme="majorBidi"/>
      <w:color w:val="2F5496" w:themeColor="accent1" w:themeShade="BF"/>
      <w:sz w:val="32"/>
      <w:szCs w:val="32"/>
      <w:lang w:val="en-US"/>
    </w:rPr>
  </w:style>
  <w:style w:type="character" w:customStyle="1" w:styleId="Ttulo3Car">
    <w:name w:val="Título 3 Car"/>
    <w:basedOn w:val="Fuentedeprrafopredeter"/>
    <w:link w:val="Ttulo3"/>
    <w:uiPriority w:val="9"/>
    <w:semiHidden/>
    <w:rsid w:val="0017704F"/>
    <w:rPr>
      <w:rFonts w:eastAsiaTheme="majorEastAsia" w:cstheme="majorBidi"/>
      <w:color w:val="2F5496" w:themeColor="accent1" w:themeShade="BF"/>
      <w:sz w:val="28"/>
      <w:szCs w:val="28"/>
      <w:lang w:val="en-US"/>
    </w:rPr>
  </w:style>
  <w:style w:type="character" w:customStyle="1" w:styleId="Ttulo4Car">
    <w:name w:val="Título 4 Car"/>
    <w:basedOn w:val="Fuentedeprrafopredeter"/>
    <w:link w:val="Ttulo4"/>
    <w:uiPriority w:val="9"/>
    <w:semiHidden/>
    <w:rsid w:val="0017704F"/>
    <w:rPr>
      <w:rFonts w:eastAsiaTheme="majorEastAsia" w:cstheme="majorBidi"/>
      <w:i/>
      <w:iCs/>
      <w:color w:val="2F5496" w:themeColor="accent1" w:themeShade="BF"/>
      <w:lang w:val="en-US"/>
    </w:rPr>
  </w:style>
  <w:style w:type="character" w:customStyle="1" w:styleId="Ttulo5Car">
    <w:name w:val="Título 5 Car"/>
    <w:basedOn w:val="Fuentedeprrafopredeter"/>
    <w:link w:val="Ttulo5"/>
    <w:uiPriority w:val="9"/>
    <w:semiHidden/>
    <w:rsid w:val="0017704F"/>
    <w:rPr>
      <w:rFonts w:eastAsiaTheme="majorEastAsia" w:cstheme="majorBidi"/>
      <w:color w:val="2F5496" w:themeColor="accent1" w:themeShade="BF"/>
      <w:lang w:val="en-US"/>
    </w:rPr>
  </w:style>
  <w:style w:type="character" w:customStyle="1" w:styleId="Ttulo6Car">
    <w:name w:val="Título 6 Car"/>
    <w:basedOn w:val="Fuentedeprrafopredeter"/>
    <w:link w:val="Ttulo6"/>
    <w:uiPriority w:val="9"/>
    <w:semiHidden/>
    <w:rsid w:val="0017704F"/>
    <w:rPr>
      <w:rFonts w:eastAsiaTheme="majorEastAsia" w:cstheme="majorBidi"/>
      <w:i/>
      <w:iCs/>
      <w:color w:val="595959" w:themeColor="text1" w:themeTint="A6"/>
      <w:lang w:val="en-US"/>
    </w:rPr>
  </w:style>
  <w:style w:type="character" w:customStyle="1" w:styleId="Ttulo7Car">
    <w:name w:val="Título 7 Car"/>
    <w:basedOn w:val="Fuentedeprrafopredeter"/>
    <w:link w:val="Ttulo7"/>
    <w:uiPriority w:val="9"/>
    <w:semiHidden/>
    <w:rsid w:val="0017704F"/>
    <w:rPr>
      <w:rFonts w:eastAsiaTheme="majorEastAsia" w:cstheme="majorBidi"/>
      <w:color w:val="595959" w:themeColor="text1" w:themeTint="A6"/>
      <w:lang w:val="en-US"/>
    </w:rPr>
  </w:style>
  <w:style w:type="character" w:customStyle="1" w:styleId="Ttulo8Car">
    <w:name w:val="Título 8 Car"/>
    <w:basedOn w:val="Fuentedeprrafopredeter"/>
    <w:link w:val="Ttulo8"/>
    <w:uiPriority w:val="9"/>
    <w:semiHidden/>
    <w:rsid w:val="0017704F"/>
    <w:rPr>
      <w:rFonts w:eastAsiaTheme="majorEastAsia" w:cstheme="majorBidi"/>
      <w:i/>
      <w:iCs/>
      <w:color w:val="272727" w:themeColor="text1" w:themeTint="D8"/>
      <w:lang w:val="en-US"/>
    </w:rPr>
  </w:style>
  <w:style w:type="character" w:customStyle="1" w:styleId="Ttulo9Car">
    <w:name w:val="Título 9 Car"/>
    <w:basedOn w:val="Fuentedeprrafopredeter"/>
    <w:link w:val="Ttulo9"/>
    <w:uiPriority w:val="9"/>
    <w:semiHidden/>
    <w:rsid w:val="0017704F"/>
    <w:rPr>
      <w:rFonts w:eastAsiaTheme="majorEastAsia" w:cstheme="majorBidi"/>
      <w:color w:val="272727" w:themeColor="text1" w:themeTint="D8"/>
      <w:lang w:val="en-US"/>
    </w:rPr>
  </w:style>
  <w:style w:type="paragraph" w:styleId="Ttulo">
    <w:name w:val="Title"/>
    <w:basedOn w:val="Normal"/>
    <w:next w:val="Normal"/>
    <w:link w:val="TtuloCar"/>
    <w:uiPriority w:val="10"/>
    <w:qFormat/>
    <w:rsid w:val="001770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7704F"/>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
    <w:uiPriority w:val="11"/>
    <w:qFormat/>
    <w:rsid w:val="0017704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7704F"/>
    <w:rPr>
      <w:rFonts w:eastAsiaTheme="majorEastAsia" w:cstheme="majorBidi"/>
      <w:color w:val="595959" w:themeColor="text1" w:themeTint="A6"/>
      <w:spacing w:val="15"/>
      <w:sz w:val="28"/>
      <w:szCs w:val="28"/>
      <w:lang w:val="en-US"/>
    </w:rPr>
  </w:style>
  <w:style w:type="paragraph" w:styleId="Cita">
    <w:name w:val="Quote"/>
    <w:basedOn w:val="Normal"/>
    <w:next w:val="Normal"/>
    <w:link w:val="CitaCar"/>
    <w:uiPriority w:val="29"/>
    <w:qFormat/>
    <w:rsid w:val="0017704F"/>
    <w:pPr>
      <w:spacing w:before="160"/>
      <w:jc w:val="center"/>
    </w:pPr>
    <w:rPr>
      <w:i/>
      <w:iCs/>
      <w:color w:val="404040" w:themeColor="text1" w:themeTint="BF"/>
    </w:rPr>
  </w:style>
  <w:style w:type="character" w:customStyle="1" w:styleId="CitaCar">
    <w:name w:val="Cita Car"/>
    <w:basedOn w:val="Fuentedeprrafopredeter"/>
    <w:link w:val="Cita"/>
    <w:uiPriority w:val="29"/>
    <w:rsid w:val="0017704F"/>
    <w:rPr>
      <w:i/>
      <w:iCs/>
      <w:color w:val="404040" w:themeColor="text1" w:themeTint="BF"/>
      <w:lang w:val="en-US"/>
    </w:rPr>
  </w:style>
  <w:style w:type="paragraph" w:styleId="Prrafodelista">
    <w:name w:val="List Paragraph"/>
    <w:basedOn w:val="Normal"/>
    <w:uiPriority w:val="34"/>
    <w:qFormat/>
    <w:rsid w:val="0017704F"/>
    <w:pPr>
      <w:ind w:left="720"/>
      <w:contextualSpacing/>
    </w:pPr>
  </w:style>
  <w:style w:type="character" w:styleId="nfasisintenso">
    <w:name w:val="Intense Emphasis"/>
    <w:basedOn w:val="Fuentedeprrafopredeter"/>
    <w:uiPriority w:val="21"/>
    <w:qFormat/>
    <w:rsid w:val="0017704F"/>
    <w:rPr>
      <w:i/>
      <w:iCs/>
      <w:color w:val="2F5496" w:themeColor="accent1" w:themeShade="BF"/>
    </w:rPr>
  </w:style>
  <w:style w:type="paragraph" w:styleId="Citadestacada">
    <w:name w:val="Intense Quote"/>
    <w:basedOn w:val="Normal"/>
    <w:next w:val="Normal"/>
    <w:link w:val="CitadestacadaCar"/>
    <w:uiPriority w:val="30"/>
    <w:qFormat/>
    <w:rsid w:val="001770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7704F"/>
    <w:rPr>
      <w:i/>
      <w:iCs/>
      <w:color w:val="2F5496" w:themeColor="accent1" w:themeShade="BF"/>
      <w:lang w:val="en-US"/>
    </w:rPr>
  </w:style>
  <w:style w:type="character" w:styleId="Referenciaintensa">
    <w:name w:val="Intense Reference"/>
    <w:basedOn w:val="Fuentedeprrafopredeter"/>
    <w:uiPriority w:val="32"/>
    <w:qFormat/>
    <w:rsid w:val="0017704F"/>
    <w:rPr>
      <w:b/>
      <w:bCs/>
      <w:smallCaps/>
      <w:color w:val="2F5496" w:themeColor="accent1" w:themeShade="BF"/>
      <w:spacing w:val="5"/>
    </w:rPr>
  </w:style>
  <w:style w:type="character" w:styleId="Textoennegrita">
    <w:name w:val="Strong"/>
    <w:basedOn w:val="Fuentedeprrafopredeter"/>
    <w:uiPriority w:val="22"/>
    <w:qFormat/>
    <w:rsid w:val="00BE640E"/>
    <w:rPr>
      <w:b/>
      <w:bCs/>
    </w:rPr>
  </w:style>
  <w:style w:type="paragraph" w:styleId="NormalWeb">
    <w:name w:val="Normal (Web)"/>
    <w:basedOn w:val="Normal"/>
    <w:uiPriority w:val="99"/>
    <w:unhideWhenUsed/>
    <w:rsid w:val="00BE640E"/>
    <w:pPr>
      <w:spacing w:before="100" w:beforeAutospacing="1" w:after="100" w:afterAutospacing="1" w:line="240" w:lineRule="auto"/>
    </w:pPr>
    <w:rPr>
      <w:rFonts w:ascii="Times New Roman" w:eastAsia="Times New Roman" w:hAnsi="Times New Roman" w:cs="Times New Roman"/>
      <w:kern w:val="0"/>
      <w:sz w:val="24"/>
      <w:szCs w:val="24"/>
      <w:lang w:val="es-BO" w:eastAsia="es-BO"/>
      <w14:ligatures w14:val="none"/>
    </w:rPr>
  </w:style>
  <w:style w:type="paragraph" w:styleId="Revisin">
    <w:name w:val="Revision"/>
    <w:hidden/>
    <w:uiPriority w:val="99"/>
    <w:semiHidden/>
    <w:rsid w:val="000C33C3"/>
    <w:pPr>
      <w:spacing w:after="0" w:line="240" w:lineRule="auto"/>
    </w:pPr>
    <w:rPr>
      <w:lang w:val="en-US"/>
    </w:rPr>
  </w:style>
  <w:style w:type="character" w:styleId="nfasis">
    <w:name w:val="Emphasis"/>
    <w:basedOn w:val="Fuentedeprrafopredeter"/>
    <w:uiPriority w:val="20"/>
    <w:qFormat/>
    <w:rsid w:val="001A3BB7"/>
    <w:rPr>
      <w:i/>
      <w:iCs/>
    </w:rPr>
  </w:style>
  <w:style w:type="paragraph" w:styleId="Encabezado">
    <w:name w:val="header"/>
    <w:basedOn w:val="Normal"/>
    <w:link w:val="EncabezadoCar"/>
    <w:uiPriority w:val="99"/>
    <w:unhideWhenUsed/>
    <w:rsid w:val="0038630C"/>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38630C"/>
    <w:rPr>
      <w:lang w:val="en-US"/>
    </w:rPr>
  </w:style>
  <w:style w:type="paragraph" w:styleId="Piedepgina">
    <w:name w:val="footer"/>
    <w:basedOn w:val="Normal"/>
    <w:link w:val="PiedepginaCar"/>
    <w:uiPriority w:val="99"/>
    <w:unhideWhenUsed/>
    <w:rsid w:val="0038630C"/>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38630C"/>
    <w:rPr>
      <w:lang w:val="en-US"/>
    </w:rPr>
  </w:style>
  <w:style w:type="character" w:styleId="Hipervnculo">
    <w:name w:val="Hyperlink"/>
    <w:basedOn w:val="Fuentedeprrafopredeter"/>
    <w:uiPriority w:val="99"/>
    <w:unhideWhenUsed/>
    <w:rsid w:val="00B744D8"/>
    <w:rPr>
      <w:color w:val="0563C1" w:themeColor="hyperlink"/>
      <w:u w:val="single"/>
    </w:rPr>
  </w:style>
  <w:style w:type="character" w:styleId="Mencinsinresolver">
    <w:name w:val="Unresolved Mention"/>
    <w:basedOn w:val="Fuentedeprrafopredeter"/>
    <w:uiPriority w:val="99"/>
    <w:semiHidden/>
    <w:unhideWhenUsed/>
    <w:rsid w:val="00B744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895146">
      <w:bodyDiv w:val="1"/>
      <w:marLeft w:val="0"/>
      <w:marRight w:val="0"/>
      <w:marTop w:val="0"/>
      <w:marBottom w:val="0"/>
      <w:divBdr>
        <w:top w:val="none" w:sz="0" w:space="0" w:color="auto"/>
        <w:left w:val="none" w:sz="0" w:space="0" w:color="auto"/>
        <w:bottom w:val="none" w:sz="0" w:space="0" w:color="auto"/>
        <w:right w:val="none" w:sz="0" w:space="0" w:color="auto"/>
      </w:divBdr>
    </w:div>
    <w:div w:id="95567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pbaldiviezo@ibifbolivia.org.bo" TargetMode="External"/><Relationship Id="rId3" Type="http://schemas.openxmlformats.org/officeDocument/2006/relationships/settings" Target="settings.xml"/><Relationship Id="rId7" Type="http://schemas.openxmlformats.org/officeDocument/2006/relationships/hyperlink" Target="mailto:ibif@ibifbolivia.org.b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pbaldiviezo@ibifbolivia.org.b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6</Pages>
  <Words>2078</Words>
  <Characters>11430</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Cano</dc:creator>
  <cp:keywords/>
  <dc:description/>
  <cp:lastModifiedBy>Miguel Manchego</cp:lastModifiedBy>
  <cp:revision>12</cp:revision>
  <dcterms:created xsi:type="dcterms:W3CDTF">2026-05-11T15:28:00Z</dcterms:created>
  <dcterms:modified xsi:type="dcterms:W3CDTF">2026-05-15T15:00:00Z</dcterms:modified>
</cp:coreProperties>
</file>